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B7AE" w14:textId="77777777" w:rsidR="00010B0C" w:rsidRPr="00D17975" w:rsidRDefault="009D1F05" w:rsidP="009D1F05">
      <w:pPr>
        <w:shd w:val="clear" w:color="auto" w:fill="FFFFFF"/>
        <w:spacing w:after="160" w:line="235" w:lineRule="atLeast"/>
        <w:ind w:left="-709"/>
        <w:rPr>
          <w:rFonts w:ascii="Arial" w:hAnsi="Arial" w:cs="Arial"/>
          <w:b/>
          <w:color w:val="FF0000"/>
          <w:sz w:val="48"/>
          <w:lang w:val="en-US"/>
        </w:rPr>
      </w:pPr>
      <w:r w:rsidRPr="00D17975">
        <w:rPr>
          <w:rFonts w:ascii="Arial Rounded MT Bold" w:hAnsi="Arial Rounded MT Bold" w:cs="Arial"/>
          <w:b/>
          <w:color w:val="0070C0"/>
          <w:sz w:val="48"/>
          <w:lang w:val="en-US"/>
        </w:rPr>
        <w:t>Catch Up Funding Plan</w:t>
      </w:r>
      <w:r w:rsidR="00010B0C" w:rsidRPr="00D17975">
        <w:rPr>
          <w:rFonts w:ascii="Arial" w:hAnsi="Arial" w:cs="Arial"/>
          <w:b/>
          <w:color w:val="0070C0"/>
          <w:sz w:val="48"/>
          <w:lang w:val="en-US"/>
        </w:rPr>
        <w:t xml:space="preserve"> </w:t>
      </w:r>
      <w:r w:rsidR="00010B0C" w:rsidRPr="00D17975">
        <w:rPr>
          <w:rFonts w:ascii="Arial Black" w:hAnsi="Arial Black" w:cs="Arial"/>
          <w:b/>
          <w:sz w:val="48"/>
          <w:lang w:val="en-US"/>
        </w:rPr>
        <w:t>2020-21</w:t>
      </w:r>
      <w:bookmarkStart w:id="0" w:name="_GoBack"/>
      <w:bookmarkEnd w:id="0"/>
    </w:p>
    <w:tbl>
      <w:tblPr>
        <w:tblStyle w:val="TableGrid"/>
        <w:tblW w:w="15735" w:type="dxa"/>
        <w:tblInd w:w="-856" w:type="dxa"/>
        <w:tblLook w:val="04A0" w:firstRow="1" w:lastRow="0" w:firstColumn="1" w:lastColumn="0" w:noHBand="0" w:noVBand="1"/>
      </w:tblPr>
      <w:tblGrid>
        <w:gridCol w:w="5343"/>
        <w:gridCol w:w="5196"/>
        <w:gridCol w:w="5196"/>
      </w:tblGrid>
      <w:tr w:rsidR="00D17975" w:rsidRPr="00D17975" w14:paraId="02F8A702" w14:textId="77777777" w:rsidTr="006E6C2F">
        <w:tc>
          <w:tcPr>
            <w:tcW w:w="5343" w:type="dxa"/>
            <w:tcBorders>
              <w:top w:val="double" w:sz="4" w:space="0" w:color="auto"/>
              <w:left w:val="double" w:sz="4" w:space="0" w:color="auto"/>
              <w:bottom w:val="double" w:sz="4" w:space="0" w:color="auto"/>
            </w:tcBorders>
            <w:shd w:val="clear" w:color="auto" w:fill="DAEEF3" w:themeFill="accent5" w:themeFillTint="33"/>
          </w:tcPr>
          <w:p w14:paraId="578B59AA" w14:textId="77777777" w:rsidR="009D1F05" w:rsidRDefault="00AB6500" w:rsidP="009D1F05">
            <w:pPr>
              <w:spacing w:after="160" w:line="235" w:lineRule="atLeast"/>
              <w:rPr>
                <w:rFonts w:ascii="Arial" w:eastAsia="Times New Roman" w:hAnsi="Arial" w:cs="Arial"/>
                <w:lang w:eastAsia="en-GB"/>
              </w:rPr>
            </w:pPr>
            <w:r>
              <w:rPr>
                <w:rFonts w:ascii="Arial" w:eastAsia="Times New Roman" w:hAnsi="Arial" w:cs="Arial"/>
                <w:lang w:eastAsia="en-GB"/>
              </w:rPr>
              <w:t xml:space="preserve">YOUR SCHOOL </w:t>
            </w:r>
          </w:p>
          <w:p w14:paraId="17FBA53A" w14:textId="77777777" w:rsidR="00B44595" w:rsidRPr="00D17975" w:rsidRDefault="00A95A16" w:rsidP="009D1F05">
            <w:pPr>
              <w:spacing w:after="160" w:line="235" w:lineRule="atLeast"/>
              <w:rPr>
                <w:rFonts w:ascii="Arial" w:eastAsia="Times New Roman" w:hAnsi="Arial" w:cs="Arial"/>
                <w:lang w:eastAsia="en-GB"/>
              </w:rPr>
            </w:pPr>
            <w:r>
              <w:rPr>
                <w:rFonts w:ascii="Arial" w:eastAsia="Times New Roman" w:hAnsi="Arial" w:cs="Arial"/>
                <w:lang w:eastAsia="en-GB"/>
              </w:rPr>
              <w:t>Aston All Saints</w:t>
            </w:r>
            <w:r w:rsidR="00B44595">
              <w:rPr>
                <w:rFonts w:ascii="Arial" w:eastAsia="Times New Roman" w:hAnsi="Arial" w:cs="Arial"/>
                <w:lang w:eastAsia="en-GB"/>
              </w:rPr>
              <w:t xml:space="preserve"> C of E Primary School</w:t>
            </w:r>
          </w:p>
        </w:tc>
        <w:tc>
          <w:tcPr>
            <w:tcW w:w="5196" w:type="dxa"/>
            <w:tcBorders>
              <w:top w:val="double" w:sz="4" w:space="0" w:color="auto"/>
              <w:bottom w:val="double" w:sz="4" w:space="0" w:color="auto"/>
            </w:tcBorders>
            <w:shd w:val="clear" w:color="auto" w:fill="DAEEF3" w:themeFill="accent5" w:themeFillTint="33"/>
          </w:tcPr>
          <w:p w14:paraId="2BFE6D13" w14:textId="77777777" w:rsidR="009D1F05" w:rsidRDefault="009D1F05" w:rsidP="00D17975">
            <w:pPr>
              <w:spacing w:after="160" w:line="235" w:lineRule="atLeast"/>
              <w:rPr>
                <w:rFonts w:ascii="Arial" w:hAnsi="Arial" w:cs="Arial"/>
                <w:bCs/>
              </w:rPr>
            </w:pPr>
            <w:r w:rsidRPr="00D17975">
              <w:rPr>
                <w:rFonts w:ascii="Arial" w:hAnsi="Arial" w:cs="Arial"/>
                <w:bCs/>
              </w:rPr>
              <w:t xml:space="preserve">Number of Pupils funding based upon: </w:t>
            </w:r>
          </w:p>
          <w:p w14:paraId="5AAB44EC" w14:textId="77777777" w:rsidR="00A42654" w:rsidRPr="00D17975" w:rsidRDefault="00A42654" w:rsidP="00D17975">
            <w:pPr>
              <w:spacing w:after="160" w:line="235" w:lineRule="atLeast"/>
              <w:rPr>
                <w:rFonts w:ascii="Arial" w:hAnsi="Arial" w:cs="Arial"/>
                <w:bCs/>
              </w:rPr>
            </w:pPr>
            <w:r>
              <w:rPr>
                <w:rFonts w:ascii="Arial" w:hAnsi="Arial" w:cs="Arial"/>
                <w:bCs/>
              </w:rPr>
              <w:t>October 2020 Census =</w:t>
            </w:r>
            <w:r w:rsidR="00A95A16">
              <w:rPr>
                <w:rFonts w:ascii="Arial" w:hAnsi="Arial" w:cs="Arial"/>
                <w:bCs/>
              </w:rPr>
              <w:t xml:space="preserve"> 213</w:t>
            </w:r>
          </w:p>
        </w:tc>
        <w:tc>
          <w:tcPr>
            <w:tcW w:w="5196" w:type="dxa"/>
            <w:tcBorders>
              <w:top w:val="double" w:sz="4" w:space="0" w:color="auto"/>
              <w:bottom w:val="double" w:sz="4" w:space="0" w:color="auto"/>
              <w:right w:val="double" w:sz="4" w:space="0" w:color="auto"/>
            </w:tcBorders>
            <w:shd w:val="clear" w:color="auto" w:fill="DAEEF3" w:themeFill="accent5" w:themeFillTint="33"/>
          </w:tcPr>
          <w:p w14:paraId="777FF576" w14:textId="77777777" w:rsidR="009D1F05" w:rsidRPr="00D17975" w:rsidRDefault="009D1F05" w:rsidP="00AB6500">
            <w:pPr>
              <w:spacing w:after="160" w:line="235" w:lineRule="atLeast"/>
              <w:rPr>
                <w:rFonts w:ascii="Arial" w:hAnsi="Arial" w:cs="Arial"/>
                <w:bCs/>
              </w:rPr>
            </w:pPr>
            <w:r w:rsidRPr="00D17975">
              <w:rPr>
                <w:rFonts w:ascii="Arial" w:hAnsi="Arial" w:cs="Arial"/>
                <w:bCs/>
              </w:rPr>
              <w:t xml:space="preserve">Catch up Funding allocation (£80.00 from FS2 to Y6): </w:t>
            </w:r>
            <w:r w:rsidR="00A42654">
              <w:rPr>
                <w:rFonts w:ascii="Arial" w:hAnsi="Arial" w:cs="Arial"/>
                <w:bCs/>
              </w:rPr>
              <w:t>£</w:t>
            </w:r>
            <w:r w:rsidR="00BB1FC5">
              <w:rPr>
                <w:rFonts w:ascii="Arial" w:hAnsi="Arial" w:cs="Arial"/>
                <w:bCs/>
              </w:rPr>
              <w:t>17040</w:t>
            </w:r>
          </w:p>
        </w:tc>
      </w:tr>
    </w:tbl>
    <w:p w14:paraId="182BA403" w14:textId="77777777" w:rsidR="00010B0C" w:rsidRPr="00D17975" w:rsidRDefault="00010B0C" w:rsidP="00010B0C">
      <w:pPr>
        <w:spacing w:after="0" w:line="240" w:lineRule="auto"/>
        <w:ind w:left="-709"/>
        <w:rPr>
          <w:rFonts w:ascii="Arial" w:eastAsia="Calibri" w:hAnsi="Arial" w:cs="Arial"/>
          <w:i/>
          <w:sz w:val="16"/>
          <w:szCs w:val="16"/>
          <w:lang w:val="en-US"/>
        </w:rPr>
      </w:pPr>
      <w:r w:rsidRPr="00D17975">
        <w:rPr>
          <w:rFonts w:ascii="Arial" w:eastAsia="Calibri" w:hAnsi="Arial" w:cs="Arial"/>
          <w:i/>
          <w:sz w:val="16"/>
          <w:szCs w:val="16"/>
          <w:lang w:val="en-US"/>
        </w:rPr>
        <w:t>This plan should be read in conjunction with the other main school planning documents as it is not entirely exhaustive in underpinning the following key priorities.</w:t>
      </w:r>
    </w:p>
    <w:p w14:paraId="5D3FC7FB" w14:textId="77777777" w:rsidR="006E6C2F" w:rsidRPr="00D17975" w:rsidRDefault="006E6C2F" w:rsidP="00010B0C">
      <w:pPr>
        <w:spacing w:after="0" w:line="240" w:lineRule="auto"/>
        <w:ind w:left="-709"/>
        <w:rPr>
          <w:rFonts w:ascii="Arial" w:eastAsia="Calibri" w:hAnsi="Arial" w:cs="Arial"/>
          <w:i/>
          <w:sz w:val="16"/>
          <w:szCs w:val="16"/>
          <w:lang w:val="en-US"/>
        </w:rPr>
      </w:pPr>
    </w:p>
    <w:tbl>
      <w:tblPr>
        <w:tblW w:w="15719" w:type="dxa"/>
        <w:jc w:val="center"/>
        <w:tblLayout w:type="fixed"/>
        <w:tblCellMar>
          <w:left w:w="10" w:type="dxa"/>
          <w:right w:w="10" w:type="dxa"/>
        </w:tblCellMar>
        <w:tblLook w:val="04A0" w:firstRow="1" w:lastRow="0" w:firstColumn="1" w:lastColumn="0" w:noHBand="0" w:noVBand="1"/>
      </w:tblPr>
      <w:tblGrid>
        <w:gridCol w:w="3828"/>
        <w:gridCol w:w="4819"/>
        <w:gridCol w:w="4521"/>
        <w:gridCol w:w="2551"/>
      </w:tblGrid>
      <w:tr w:rsidR="00D17975" w:rsidRPr="00D17975" w14:paraId="2F099B40" w14:textId="77777777" w:rsidTr="00D81AB3">
        <w:trPr>
          <w:jc w:val="center"/>
        </w:trPr>
        <w:tc>
          <w:tcPr>
            <w:tcW w:w="15719" w:type="dxa"/>
            <w:gridSpan w:val="4"/>
            <w:tcBorders>
              <w:top w:val="double" w:sz="4" w:space="0" w:color="000000"/>
              <w:left w:val="double" w:sz="4" w:space="0" w:color="000000"/>
              <w:bottom w:val="single" w:sz="4" w:space="0" w:color="000000"/>
              <w:right w:val="double" w:sz="4" w:space="0" w:color="000000"/>
            </w:tcBorders>
            <w:shd w:val="clear" w:color="auto" w:fill="B6DDE8" w:themeFill="accent5" w:themeFillTint="66"/>
            <w:tcMar>
              <w:top w:w="0" w:type="dxa"/>
              <w:left w:w="108" w:type="dxa"/>
              <w:bottom w:w="0" w:type="dxa"/>
              <w:right w:w="108" w:type="dxa"/>
            </w:tcMar>
          </w:tcPr>
          <w:p w14:paraId="72E7BE33" w14:textId="77777777" w:rsidR="006E6C2F" w:rsidRPr="00D17975" w:rsidRDefault="00D81AB3" w:rsidP="00D81AB3">
            <w:pPr>
              <w:pStyle w:val="NoSpacing"/>
              <w:textAlignment w:val="auto"/>
              <w:rPr>
                <w:rFonts w:ascii="Arial Rounded MT Bold" w:eastAsia="Times New Roman" w:hAnsi="Arial Rounded MT Bold" w:cs="Arial"/>
                <w:b/>
                <w:color w:val="0070C0"/>
                <w:sz w:val="40"/>
                <w:szCs w:val="40"/>
                <w:lang w:val="en-US" w:eastAsia="en-GB"/>
              </w:rPr>
            </w:pPr>
            <w:r w:rsidRPr="00D17975">
              <w:rPr>
                <w:rFonts w:ascii="Arial Rounded MT Bold" w:eastAsia="Times New Roman" w:hAnsi="Arial Rounded MT Bold" w:cs="Arial"/>
                <w:b/>
                <w:color w:val="0070C0"/>
                <w:sz w:val="40"/>
                <w:szCs w:val="40"/>
                <w:lang w:val="en-US" w:eastAsia="en-GB"/>
              </w:rPr>
              <w:t xml:space="preserve">Overall aim: </w:t>
            </w:r>
          </w:p>
          <w:p w14:paraId="3F789873" w14:textId="77777777" w:rsidR="00D81AB3" w:rsidRPr="00D17975" w:rsidRDefault="00D81AB3" w:rsidP="00D81AB3">
            <w:pPr>
              <w:pStyle w:val="NoSpacing"/>
              <w:textAlignment w:val="auto"/>
              <w:rPr>
                <w:rFonts w:ascii="Arial Rounded MT Bold" w:eastAsia="Times New Roman" w:hAnsi="Arial Rounded MT Bold" w:cs="Arial"/>
                <w:color w:val="0070C0"/>
                <w:sz w:val="40"/>
                <w:szCs w:val="40"/>
                <w:lang w:val="en-US" w:eastAsia="en-GB"/>
              </w:rPr>
            </w:pPr>
            <w:r w:rsidRPr="00D17975">
              <w:rPr>
                <w:rFonts w:ascii="Arial Rounded MT Bold" w:eastAsia="Times New Roman" w:hAnsi="Arial Rounded MT Bold" w:cs="Arial"/>
                <w:color w:val="0070C0"/>
                <w:sz w:val="40"/>
                <w:szCs w:val="40"/>
                <w:lang w:val="en-US" w:eastAsia="en-GB"/>
              </w:rPr>
              <w:t>To close the gap in progress &amp; attainment caused as a result of the Covid19 pandemic so that outcomes are in line or better than previous results.</w:t>
            </w:r>
          </w:p>
          <w:p w14:paraId="107D393D" w14:textId="77777777" w:rsidR="006E6C2F" w:rsidRPr="00D17975" w:rsidRDefault="006E6C2F" w:rsidP="00D81AB3">
            <w:pPr>
              <w:pStyle w:val="NoSpacing"/>
              <w:textAlignment w:val="auto"/>
              <w:rPr>
                <w:rFonts w:ascii="Arial" w:hAnsi="Arial" w:cs="Arial"/>
                <w:b/>
                <w:bCs/>
                <w:color w:val="FF0000"/>
                <w:sz w:val="16"/>
                <w:szCs w:val="16"/>
              </w:rPr>
            </w:pPr>
          </w:p>
        </w:tc>
      </w:tr>
      <w:tr w:rsidR="00D17975" w:rsidRPr="00D17975" w14:paraId="0C2CB289" w14:textId="77777777" w:rsidTr="00800692">
        <w:trPr>
          <w:jc w:val="center"/>
        </w:trPr>
        <w:tc>
          <w:tcPr>
            <w:tcW w:w="3828" w:type="dxa"/>
            <w:tcBorders>
              <w:top w:val="double" w:sz="4" w:space="0" w:color="000000"/>
              <w:left w:val="double" w:sz="4" w:space="0" w:color="000000"/>
              <w:bottom w:val="single" w:sz="4" w:space="0" w:color="000000"/>
              <w:right w:val="double" w:sz="4" w:space="0" w:color="auto"/>
            </w:tcBorders>
            <w:shd w:val="clear" w:color="auto" w:fill="B6DDE8" w:themeFill="accent5" w:themeFillTint="66"/>
            <w:tcMar>
              <w:top w:w="0" w:type="dxa"/>
              <w:left w:w="108" w:type="dxa"/>
              <w:bottom w:w="0" w:type="dxa"/>
              <w:right w:w="108" w:type="dxa"/>
            </w:tcMar>
          </w:tcPr>
          <w:p w14:paraId="1E95A1AC" w14:textId="77777777" w:rsidR="00D81AB3" w:rsidRPr="00800692" w:rsidRDefault="00D81AB3" w:rsidP="006E6C2F">
            <w:pPr>
              <w:pStyle w:val="NoSpacing"/>
              <w:jc w:val="center"/>
              <w:textAlignment w:val="auto"/>
              <w:rPr>
                <w:rFonts w:ascii="Arial Rounded MT Bold" w:hAnsi="Arial Rounded MT Bold" w:cs="Arial"/>
                <w:b/>
                <w:bCs/>
                <w:sz w:val="32"/>
                <w:szCs w:val="24"/>
              </w:rPr>
            </w:pPr>
            <w:r w:rsidRPr="00800692">
              <w:rPr>
                <w:rFonts w:ascii="Arial Rounded MT Bold" w:hAnsi="Arial Rounded MT Bold" w:cs="Arial"/>
                <w:b/>
                <w:bCs/>
                <w:sz w:val="32"/>
                <w:szCs w:val="24"/>
              </w:rPr>
              <w:t>EEF Suggested Strategies</w:t>
            </w:r>
          </w:p>
        </w:tc>
        <w:tc>
          <w:tcPr>
            <w:tcW w:w="4819" w:type="dxa"/>
            <w:tcBorders>
              <w:top w:val="double" w:sz="4" w:space="0" w:color="000000"/>
              <w:left w:val="double" w:sz="4" w:space="0" w:color="auto"/>
              <w:bottom w:val="single" w:sz="4" w:space="0" w:color="000000"/>
              <w:right w:val="double" w:sz="4" w:space="0" w:color="auto"/>
            </w:tcBorders>
            <w:shd w:val="clear" w:color="auto" w:fill="B6DDE8" w:themeFill="accent5" w:themeFillTint="66"/>
          </w:tcPr>
          <w:p w14:paraId="6D67F888" w14:textId="77777777" w:rsidR="00D81AB3" w:rsidRPr="00800692" w:rsidRDefault="00D81AB3" w:rsidP="006E6C2F">
            <w:pPr>
              <w:pStyle w:val="NoSpacing"/>
              <w:jc w:val="center"/>
              <w:textAlignment w:val="auto"/>
              <w:rPr>
                <w:rFonts w:ascii="Arial Rounded MT Bold" w:hAnsi="Arial Rounded MT Bold" w:cs="Arial"/>
                <w:b/>
                <w:bCs/>
                <w:sz w:val="32"/>
                <w:szCs w:val="24"/>
              </w:rPr>
            </w:pPr>
            <w:r w:rsidRPr="00800692">
              <w:rPr>
                <w:rFonts w:ascii="Arial Rounded MT Bold" w:hAnsi="Arial Rounded MT Bold" w:cs="Arial"/>
                <w:b/>
                <w:bCs/>
                <w:sz w:val="32"/>
                <w:szCs w:val="24"/>
              </w:rPr>
              <w:t>School Priority Areas</w:t>
            </w:r>
          </w:p>
        </w:tc>
        <w:tc>
          <w:tcPr>
            <w:tcW w:w="4521" w:type="dxa"/>
            <w:tcBorders>
              <w:top w:val="double" w:sz="4" w:space="0" w:color="000000"/>
              <w:left w:val="double" w:sz="4" w:space="0" w:color="auto"/>
              <w:bottom w:val="single" w:sz="4" w:space="0" w:color="000000"/>
              <w:right w:val="double" w:sz="4" w:space="0" w:color="auto"/>
            </w:tcBorders>
            <w:shd w:val="clear" w:color="auto" w:fill="B6DDE8" w:themeFill="accent5" w:themeFillTint="66"/>
            <w:tcMar>
              <w:top w:w="0" w:type="dxa"/>
              <w:left w:w="108" w:type="dxa"/>
              <w:bottom w:w="0" w:type="dxa"/>
              <w:right w:w="108" w:type="dxa"/>
            </w:tcMar>
          </w:tcPr>
          <w:p w14:paraId="48B66A53" w14:textId="77777777" w:rsidR="00D81AB3" w:rsidRPr="00800692" w:rsidRDefault="00D81AB3" w:rsidP="006E6C2F">
            <w:pPr>
              <w:pStyle w:val="NoSpacing"/>
              <w:jc w:val="center"/>
              <w:textAlignment w:val="auto"/>
              <w:rPr>
                <w:rFonts w:ascii="Arial Rounded MT Bold" w:hAnsi="Arial Rounded MT Bold" w:cs="Arial"/>
                <w:b/>
                <w:bCs/>
                <w:sz w:val="32"/>
                <w:szCs w:val="24"/>
              </w:rPr>
            </w:pPr>
            <w:r w:rsidRPr="00800692">
              <w:rPr>
                <w:rFonts w:ascii="Arial Rounded MT Bold" w:hAnsi="Arial Rounded MT Bold" w:cs="Arial"/>
                <w:b/>
                <w:bCs/>
                <w:sz w:val="32"/>
                <w:szCs w:val="24"/>
              </w:rPr>
              <w:t>Success Criteria:</w:t>
            </w:r>
          </w:p>
        </w:tc>
        <w:tc>
          <w:tcPr>
            <w:tcW w:w="2551" w:type="dxa"/>
            <w:tcBorders>
              <w:top w:val="double" w:sz="4" w:space="0" w:color="000000"/>
              <w:left w:val="double" w:sz="4" w:space="0" w:color="auto"/>
              <w:bottom w:val="single" w:sz="4" w:space="0" w:color="000000"/>
              <w:right w:val="double" w:sz="4" w:space="0" w:color="000000"/>
            </w:tcBorders>
            <w:shd w:val="clear" w:color="auto" w:fill="B6DDE8" w:themeFill="accent5" w:themeFillTint="66"/>
            <w:tcMar>
              <w:top w:w="0" w:type="dxa"/>
              <w:left w:w="108" w:type="dxa"/>
              <w:bottom w:w="0" w:type="dxa"/>
              <w:right w:w="108" w:type="dxa"/>
            </w:tcMar>
          </w:tcPr>
          <w:p w14:paraId="1919C1CE" w14:textId="77777777" w:rsidR="00D81AB3" w:rsidRPr="00800692" w:rsidRDefault="00D81AB3" w:rsidP="006E6C2F">
            <w:pPr>
              <w:pStyle w:val="NoSpacing"/>
              <w:jc w:val="center"/>
              <w:textAlignment w:val="auto"/>
              <w:rPr>
                <w:rFonts w:ascii="Arial Rounded MT Bold" w:hAnsi="Arial Rounded MT Bold" w:cs="Arial"/>
                <w:b/>
                <w:bCs/>
                <w:sz w:val="32"/>
                <w:szCs w:val="24"/>
              </w:rPr>
            </w:pPr>
            <w:r w:rsidRPr="00800692">
              <w:rPr>
                <w:rFonts w:ascii="Arial Rounded MT Bold" w:hAnsi="Arial Rounded MT Bold" w:cs="Arial"/>
                <w:b/>
                <w:bCs/>
                <w:sz w:val="32"/>
                <w:szCs w:val="24"/>
              </w:rPr>
              <w:t>Evaluation Questions:</w:t>
            </w:r>
          </w:p>
        </w:tc>
      </w:tr>
      <w:tr w:rsidR="00D17975" w:rsidRPr="00D17975" w14:paraId="5ED9C275" w14:textId="77777777" w:rsidTr="00800692">
        <w:trPr>
          <w:jc w:val="center"/>
        </w:trPr>
        <w:tc>
          <w:tcPr>
            <w:tcW w:w="3828" w:type="dxa"/>
            <w:tcBorders>
              <w:top w:val="single" w:sz="4" w:space="0" w:color="000000"/>
              <w:left w:val="double" w:sz="4" w:space="0" w:color="000000"/>
              <w:bottom w:val="double" w:sz="4" w:space="0" w:color="000000"/>
              <w:right w:val="double" w:sz="4" w:space="0" w:color="auto"/>
            </w:tcBorders>
            <w:shd w:val="clear" w:color="auto" w:fill="B6DDE8" w:themeFill="accent5" w:themeFillTint="66"/>
            <w:tcMar>
              <w:top w:w="0" w:type="dxa"/>
              <w:left w:w="108" w:type="dxa"/>
              <w:bottom w:w="0" w:type="dxa"/>
              <w:right w:w="108" w:type="dxa"/>
            </w:tcMar>
          </w:tcPr>
          <w:p w14:paraId="29C9FC2D" w14:textId="77777777" w:rsidR="00D81AB3" w:rsidRPr="00D17975" w:rsidRDefault="00D81AB3" w:rsidP="00D81AB3">
            <w:pPr>
              <w:spacing w:after="0" w:line="240" w:lineRule="auto"/>
              <w:rPr>
                <w:rFonts w:ascii="Arial" w:eastAsia="Times New Roman" w:hAnsi="Arial" w:cs="Arial"/>
                <w:b/>
                <w:sz w:val="20"/>
                <w:szCs w:val="20"/>
                <w:lang w:eastAsia="en-GB"/>
              </w:rPr>
            </w:pPr>
            <w:r w:rsidRPr="00D17975">
              <w:rPr>
                <w:rFonts w:ascii="Arial" w:eastAsia="Times New Roman" w:hAnsi="Arial" w:cs="Arial"/>
                <w:b/>
                <w:bCs/>
                <w:sz w:val="20"/>
                <w:szCs w:val="20"/>
                <w:lang w:eastAsia="en-GB"/>
              </w:rPr>
              <w:t>Teachi</w:t>
            </w:r>
            <w:r w:rsidR="00D17975" w:rsidRPr="00D17975">
              <w:rPr>
                <w:rFonts w:ascii="Arial" w:eastAsia="Times New Roman" w:hAnsi="Arial" w:cs="Arial"/>
                <w:b/>
                <w:bCs/>
                <w:sz w:val="20"/>
                <w:szCs w:val="20"/>
                <w:lang w:eastAsia="en-GB"/>
              </w:rPr>
              <w:t xml:space="preserve">ng and whole school strategies </w:t>
            </w:r>
          </w:p>
          <w:p w14:paraId="44DC0BFC" w14:textId="77777777" w:rsidR="00D81AB3" w:rsidRPr="00D17975" w:rsidRDefault="00D81AB3" w:rsidP="00D81AB3">
            <w:pPr>
              <w:pStyle w:val="ListParagraph"/>
              <w:numPr>
                <w:ilvl w:val="0"/>
                <w:numId w:val="2"/>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Supporting great teaching</w:t>
            </w:r>
          </w:p>
          <w:p w14:paraId="48C4A0E2" w14:textId="77777777" w:rsidR="00D81AB3" w:rsidRPr="00D17975" w:rsidRDefault="00D81AB3" w:rsidP="00D81AB3">
            <w:pPr>
              <w:pStyle w:val="ListParagraph"/>
              <w:numPr>
                <w:ilvl w:val="0"/>
                <w:numId w:val="2"/>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Pupil assessment and feedback</w:t>
            </w:r>
          </w:p>
          <w:p w14:paraId="3A5CCBE1" w14:textId="77777777" w:rsidR="00D81AB3" w:rsidRPr="00D17975" w:rsidRDefault="00D81AB3" w:rsidP="00D81AB3">
            <w:pPr>
              <w:pStyle w:val="ListParagraph"/>
              <w:numPr>
                <w:ilvl w:val="0"/>
                <w:numId w:val="2"/>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Transition support</w:t>
            </w:r>
          </w:p>
          <w:p w14:paraId="15063F0C" w14:textId="77777777" w:rsidR="00D81AB3" w:rsidRPr="00D17975" w:rsidRDefault="00D81AB3" w:rsidP="00D81AB3">
            <w:pPr>
              <w:pStyle w:val="ListParagraph"/>
              <w:numPr>
                <w:ilvl w:val="0"/>
                <w:numId w:val="2"/>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Pupil Progress meetings</w:t>
            </w:r>
          </w:p>
          <w:p w14:paraId="2BAD6DB4" w14:textId="77777777" w:rsidR="00D81AB3" w:rsidRPr="00D17975" w:rsidRDefault="00D81AB3" w:rsidP="00D81AB3">
            <w:pPr>
              <w:pStyle w:val="ListParagraph"/>
              <w:numPr>
                <w:ilvl w:val="0"/>
                <w:numId w:val="2"/>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Staff training</w:t>
            </w:r>
          </w:p>
        </w:tc>
        <w:tc>
          <w:tcPr>
            <w:tcW w:w="4819" w:type="dxa"/>
            <w:tcBorders>
              <w:top w:val="single" w:sz="4" w:space="0" w:color="000000"/>
              <w:left w:val="double" w:sz="4" w:space="0" w:color="auto"/>
              <w:bottom w:val="double" w:sz="4" w:space="0" w:color="000000"/>
              <w:right w:val="double" w:sz="4" w:space="0" w:color="auto"/>
            </w:tcBorders>
            <w:shd w:val="clear" w:color="auto" w:fill="auto"/>
          </w:tcPr>
          <w:p w14:paraId="37564AAA" w14:textId="77777777" w:rsidR="00D81AB3" w:rsidRPr="008B1AC9" w:rsidRDefault="00D81AB3" w:rsidP="00D81AB3">
            <w:pPr>
              <w:pStyle w:val="NoSpacing"/>
              <w:ind w:left="119"/>
              <w:textAlignment w:val="auto"/>
              <w:rPr>
                <w:rFonts w:ascii="Arial" w:eastAsia="Times New Roman" w:hAnsi="Arial" w:cs="Arial"/>
                <w:b/>
                <w:sz w:val="24"/>
                <w:szCs w:val="24"/>
                <w:lang w:val="en-US" w:eastAsia="en-GB"/>
              </w:rPr>
            </w:pPr>
          </w:p>
        </w:tc>
        <w:tc>
          <w:tcPr>
            <w:tcW w:w="4521" w:type="dxa"/>
            <w:vMerge w:val="restart"/>
            <w:tcBorders>
              <w:top w:val="single" w:sz="4" w:space="0" w:color="000000"/>
              <w:left w:val="double" w:sz="4" w:space="0" w:color="auto"/>
              <w:bottom w:val="double" w:sz="4" w:space="0" w:color="000000"/>
              <w:right w:val="double" w:sz="4" w:space="0" w:color="auto"/>
            </w:tcBorders>
            <w:shd w:val="clear" w:color="auto" w:fill="auto"/>
            <w:tcMar>
              <w:top w:w="0" w:type="dxa"/>
              <w:left w:w="108" w:type="dxa"/>
              <w:bottom w:w="0" w:type="dxa"/>
              <w:right w:w="108" w:type="dxa"/>
            </w:tcMar>
          </w:tcPr>
          <w:p w14:paraId="047B1F0C" w14:textId="77777777" w:rsidR="00D81AB3" w:rsidRPr="008B1AC9" w:rsidRDefault="00D81AB3" w:rsidP="00D81AB3">
            <w:pPr>
              <w:pStyle w:val="NoSpacing"/>
              <w:numPr>
                <w:ilvl w:val="0"/>
                <w:numId w:val="1"/>
              </w:numPr>
              <w:textAlignment w:val="auto"/>
              <w:rPr>
                <w:rFonts w:ascii="Arial" w:hAnsi="Arial" w:cs="Arial"/>
                <w:sz w:val="24"/>
                <w:szCs w:val="24"/>
                <w:lang w:val="en-US" w:eastAsia="en-GB"/>
              </w:rPr>
            </w:pPr>
            <w:r w:rsidRPr="008B1AC9">
              <w:rPr>
                <w:rFonts w:ascii="Arial" w:hAnsi="Arial" w:cs="Arial"/>
                <w:sz w:val="24"/>
                <w:szCs w:val="24"/>
                <w:lang w:val="en-US" w:eastAsia="en-GB"/>
              </w:rPr>
              <w:t xml:space="preserve">The majority of pupils make at least expected progress &amp; some above. </w:t>
            </w:r>
          </w:p>
          <w:p w14:paraId="0262C72F" w14:textId="77777777" w:rsidR="00D81AB3" w:rsidRPr="008B1AC9" w:rsidRDefault="00D81AB3" w:rsidP="00D81AB3">
            <w:pPr>
              <w:pStyle w:val="NoSpacing"/>
              <w:numPr>
                <w:ilvl w:val="0"/>
                <w:numId w:val="1"/>
              </w:numPr>
              <w:textAlignment w:val="auto"/>
              <w:rPr>
                <w:rFonts w:ascii="Arial" w:hAnsi="Arial" w:cs="Arial"/>
                <w:sz w:val="24"/>
                <w:szCs w:val="24"/>
                <w:lang w:val="en-US" w:eastAsia="en-GB"/>
              </w:rPr>
            </w:pPr>
            <w:r w:rsidRPr="008B1AC9">
              <w:rPr>
                <w:rFonts w:ascii="Arial" w:hAnsi="Arial" w:cs="Arial"/>
                <w:sz w:val="24"/>
                <w:szCs w:val="24"/>
                <w:lang w:val="en-US" w:eastAsia="en-GB"/>
              </w:rPr>
              <w:t xml:space="preserve">The majority of pupils attain at least in line with ARE &amp; some above. </w:t>
            </w:r>
          </w:p>
          <w:p w14:paraId="228015EA" w14:textId="77777777" w:rsidR="00D81AB3" w:rsidRPr="008B1AC9" w:rsidRDefault="00D81AB3" w:rsidP="00D81AB3">
            <w:pPr>
              <w:pStyle w:val="NoSpacing"/>
              <w:numPr>
                <w:ilvl w:val="0"/>
                <w:numId w:val="1"/>
              </w:numPr>
              <w:textAlignment w:val="auto"/>
              <w:rPr>
                <w:rFonts w:ascii="Arial" w:hAnsi="Arial" w:cs="Arial"/>
                <w:sz w:val="24"/>
                <w:szCs w:val="24"/>
                <w:lang w:val="en-US" w:eastAsia="en-GB"/>
              </w:rPr>
            </w:pPr>
            <w:r w:rsidRPr="008B1AC9">
              <w:rPr>
                <w:rFonts w:ascii="Arial" w:hAnsi="Arial" w:cs="Arial"/>
                <w:sz w:val="24"/>
                <w:szCs w:val="24"/>
                <w:lang w:val="en-US" w:eastAsia="en-GB"/>
              </w:rPr>
              <w:t>Individual barriers to learning are sufficiently overcome for pupils through targeted support &amp; intervention.</w:t>
            </w:r>
          </w:p>
          <w:p w14:paraId="26D5828F" w14:textId="77777777" w:rsidR="00D81AB3" w:rsidRPr="008B1AC9" w:rsidRDefault="00D81AB3" w:rsidP="00D81AB3">
            <w:pPr>
              <w:pStyle w:val="NoSpacing"/>
              <w:numPr>
                <w:ilvl w:val="0"/>
                <w:numId w:val="1"/>
              </w:numPr>
              <w:textAlignment w:val="auto"/>
              <w:rPr>
                <w:rFonts w:ascii="Arial" w:hAnsi="Arial" w:cs="Arial"/>
                <w:sz w:val="24"/>
                <w:szCs w:val="24"/>
                <w:lang w:val="en-US" w:eastAsia="en-GB"/>
              </w:rPr>
            </w:pPr>
            <w:r w:rsidRPr="008B1AC9">
              <w:rPr>
                <w:rFonts w:ascii="Arial" w:hAnsi="Arial" w:cs="Arial"/>
                <w:sz w:val="24"/>
                <w:szCs w:val="24"/>
                <w:lang w:val="en-US" w:eastAsia="en-GB"/>
              </w:rPr>
              <w:t xml:space="preserve">The shortfall in reading is overcome for KS1 children &amp; LA pupils on KS2. </w:t>
            </w:r>
          </w:p>
          <w:p w14:paraId="67FE7C8B" w14:textId="77777777" w:rsidR="00D81AB3" w:rsidRPr="008B1AC9" w:rsidRDefault="00D81AB3" w:rsidP="00D81AB3">
            <w:pPr>
              <w:pStyle w:val="NoSpacing"/>
              <w:numPr>
                <w:ilvl w:val="0"/>
                <w:numId w:val="1"/>
              </w:numPr>
              <w:textAlignment w:val="auto"/>
              <w:rPr>
                <w:rFonts w:ascii="Arial" w:hAnsi="Arial" w:cs="Arial"/>
                <w:sz w:val="24"/>
                <w:szCs w:val="24"/>
                <w:lang w:val="en-US" w:eastAsia="en-GB"/>
              </w:rPr>
            </w:pPr>
            <w:r w:rsidRPr="008B1AC9">
              <w:rPr>
                <w:rFonts w:ascii="Arial" w:hAnsi="Arial" w:cs="Arial"/>
                <w:sz w:val="24"/>
                <w:szCs w:val="24"/>
                <w:lang w:val="en-US" w:eastAsia="en-GB"/>
              </w:rPr>
              <w:t xml:space="preserve">All children have high aspirations for themselves because of the high aspirations that all staff have for them.  </w:t>
            </w:r>
          </w:p>
        </w:tc>
        <w:tc>
          <w:tcPr>
            <w:tcW w:w="2551" w:type="dxa"/>
            <w:vMerge w:val="restart"/>
            <w:tcBorders>
              <w:top w:val="single" w:sz="4" w:space="0" w:color="000000"/>
              <w:left w:val="double" w:sz="4" w:space="0" w:color="auto"/>
              <w:bottom w:val="double" w:sz="4" w:space="0" w:color="000000"/>
              <w:right w:val="double" w:sz="4" w:space="0" w:color="000000"/>
            </w:tcBorders>
            <w:shd w:val="clear" w:color="auto" w:fill="auto"/>
            <w:tcMar>
              <w:top w:w="0" w:type="dxa"/>
              <w:left w:w="108" w:type="dxa"/>
              <w:bottom w:w="0" w:type="dxa"/>
              <w:right w:w="108" w:type="dxa"/>
            </w:tcMar>
          </w:tcPr>
          <w:p w14:paraId="28FCBD1C" w14:textId="77777777" w:rsidR="00D81AB3" w:rsidRPr="008B1AC9" w:rsidRDefault="00D81AB3" w:rsidP="00D81AB3">
            <w:pPr>
              <w:pStyle w:val="NoSpacing"/>
              <w:textAlignment w:val="auto"/>
              <w:rPr>
                <w:rFonts w:ascii="Arial" w:hAnsi="Arial" w:cs="Arial"/>
                <w:sz w:val="24"/>
                <w:szCs w:val="24"/>
                <w:lang w:val="en-US" w:eastAsia="en-GB"/>
              </w:rPr>
            </w:pPr>
            <w:r w:rsidRPr="008B1AC9">
              <w:rPr>
                <w:rFonts w:ascii="Arial" w:hAnsi="Arial" w:cs="Arial"/>
                <w:sz w:val="24"/>
                <w:szCs w:val="24"/>
                <w:lang w:val="en-US" w:eastAsia="en-GB"/>
              </w:rPr>
              <w:t xml:space="preserve">What shortfalls in attainment &amp; progress have we noticed? </w:t>
            </w:r>
          </w:p>
          <w:p w14:paraId="02EFA222" w14:textId="77777777" w:rsidR="00D81AB3" w:rsidRPr="008B1AC9" w:rsidRDefault="00D81AB3" w:rsidP="00D81AB3">
            <w:pPr>
              <w:pStyle w:val="NoSpacing"/>
              <w:textAlignment w:val="auto"/>
              <w:rPr>
                <w:rFonts w:ascii="Arial" w:hAnsi="Arial" w:cs="Arial"/>
                <w:sz w:val="24"/>
                <w:szCs w:val="24"/>
                <w:lang w:val="en-US" w:eastAsia="en-GB"/>
              </w:rPr>
            </w:pPr>
            <w:r w:rsidRPr="008B1AC9">
              <w:rPr>
                <w:rFonts w:ascii="Arial" w:hAnsi="Arial" w:cs="Arial"/>
                <w:sz w:val="24"/>
                <w:szCs w:val="24"/>
                <w:lang w:val="en-US" w:eastAsia="en-GB"/>
              </w:rPr>
              <w:t xml:space="preserve">How well are children attaining &amp; progressing? How do we know?  </w:t>
            </w:r>
          </w:p>
          <w:p w14:paraId="3E2BA65A" w14:textId="77777777" w:rsidR="00D81AB3" w:rsidRPr="008B1AC9" w:rsidRDefault="00D81AB3" w:rsidP="00D81AB3">
            <w:pPr>
              <w:pStyle w:val="NoSpacing"/>
              <w:textAlignment w:val="auto"/>
              <w:rPr>
                <w:rFonts w:ascii="Arial" w:hAnsi="Arial" w:cs="Arial"/>
                <w:sz w:val="24"/>
                <w:szCs w:val="24"/>
                <w:lang w:val="en-US" w:eastAsia="en-GB"/>
              </w:rPr>
            </w:pPr>
            <w:r w:rsidRPr="008B1AC9">
              <w:rPr>
                <w:rFonts w:ascii="Arial" w:hAnsi="Arial" w:cs="Arial"/>
                <w:sz w:val="24"/>
                <w:szCs w:val="24"/>
                <w:lang w:val="en-US" w:eastAsia="en-GB"/>
              </w:rPr>
              <w:t xml:space="preserve">What has the effect of our interventions been? </w:t>
            </w:r>
          </w:p>
          <w:p w14:paraId="2B99A6C9" w14:textId="77777777" w:rsidR="00D81AB3" w:rsidRPr="008B1AC9" w:rsidRDefault="00D81AB3" w:rsidP="00D81AB3">
            <w:pPr>
              <w:pStyle w:val="NoSpacing"/>
              <w:textAlignment w:val="auto"/>
              <w:rPr>
                <w:rFonts w:ascii="Arial" w:hAnsi="Arial" w:cs="Arial"/>
                <w:sz w:val="24"/>
                <w:szCs w:val="24"/>
                <w:lang w:val="en-US" w:eastAsia="en-GB"/>
              </w:rPr>
            </w:pPr>
            <w:r w:rsidRPr="008B1AC9">
              <w:rPr>
                <w:rFonts w:ascii="Arial" w:hAnsi="Arial" w:cs="Arial"/>
                <w:sz w:val="24"/>
                <w:szCs w:val="24"/>
                <w:lang w:val="en-US" w:eastAsia="en-GB"/>
              </w:rPr>
              <w:t xml:space="preserve">What does ‘high aspirations’ mean in practice to all staff? </w:t>
            </w:r>
          </w:p>
          <w:p w14:paraId="40A04091" w14:textId="77777777" w:rsidR="00D81AB3" w:rsidRPr="008B1AC9" w:rsidRDefault="00D81AB3" w:rsidP="00D81AB3">
            <w:pPr>
              <w:pStyle w:val="NoSpacing"/>
              <w:textAlignment w:val="auto"/>
              <w:rPr>
                <w:rFonts w:ascii="Arial" w:hAnsi="Arial" w:cs="Arial"/>
                <w:color w:val="FF0000"/>
                <w:sz w:val="24"/>
                <w:szCs w:val="24"/>
              </w:rPr>
            </w:pPr>
          </w:p>
        </w:tc>
      </w:tr>
      <w:tr w:rsidR="00D17975" w:rsidRPr="00D17975" w14:paraId="3216A75A" w14:textId="77777777" w:rsidTr="00800692">
        <w:trPr>
          <w:jc w:val="center"/>
        </w:trPr>
        <w:tc>
          <w:tcPr>
            <w:tcW w:w="3828" w:type="dxa"/>
            <w:tcBorders>
              <w:top w:val="single" w:sz="4" w:space="0" w:color="000000"/>
              <w:left w:val="double" w:sz="4" w:space="0" w:color="000000"/>
              <w:bottom w:val="double" w:sz="4" w:space="0" w:color="000000"/>
              <w:right w:val="double" w:sz="4" w:space="0" w:color="auto"/>
            </w:tcBorders>
            <w:shd w:val="clear" w:color="auto" w:fill="B6DDE8" w:themeFill="accent5" w:themeFillTint="66"/>
            <w:tcMar>
              <w:top w:w="0" w:type="dxa"/>
              <w:left w:w="108" w:type="dxa"/>
              <w:bottom w:w="0" w:type="dxa"/>
              <w:right w:w="108" w:type="dxa"/>
            </w:tcMar>
          </w:tcPr>
          <w:p w14:paraId="6305DCCA" w14:textId="77777777" w:rsidR="00D81AB3" w:rsidRPr="00D17975" w:rsidRDefault="00D81AB3" w:rsidP="00D81AB3">
            <w:pPr>
              <w:spacing w:after="0" w:line="240" w:lineRule="auto"/>
              <w:rPr>
                <w:rFonts w:ascii="Arial" w:eastAsia="Times New Roman" w:hAnsi="Arial" w:cs="Arial"/>
                <w:b/>
                <w:sz w:val="20"/>
                <w:szCs w:val="20"/>
                <w:lang w:eastAsia="en-GB"/>
              </w:rPr>
            </w:pPr>
            <w:r w:rsidRPr="00D17975">
              <w:rPr>
                <w:rFonts w:ascii="Arial" w:eastAsia="Times New Roman" w:hAnsi="Arial" w:cs="Arial"/>
                <w:b/>
                <w:bCs/>
                <w:sz w:val="20"/>
                <w:szCs w:val="20"/>
                <w:lang w:eastAsia="en-GB"/>
              </w:rPr>
              <w:t>Targeted approaches</w:t>
            </w:r>
          </w:p>
          <w:p w14:paraId="72F42CDD" w14:textId="77777777" w:rsidR="00D81AB3" w:rsidRPr="00D17975" w:rsidRDefault="00D81AB3" w:rsidP="00D81AB3">
            <w:pPr>
              <w:pStyle w:val="ListParagraph"/>
              <w:numPr>
                <w:ilvl w:val="0"/>
                <w:numId w:val="3"/>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One to one and small group tuition</w:t>
            </w:r>
          </w:p>
          <w:p w14:paraId="1C6A0150" w14:textId="77777777" w:rsidR="00D81AB3" w:rsidRPr="00D17975" w:rsidRDefault="00D81AB3" w:rsidP="00D81AB3">
            <w:pPr>
              <w:pStyle w:val="ListParagraph"/>
              <w:numPr>
                <w:ilvl w:val="0"/>
                <w:numId w:val="3"/>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Intervention programmes</w:t>
            </w:r>
          </w:p>
          <w:p w14:paraId="29C12A9D" w14:textId="77777777" w:rsidR="00D81AB3" w:rsidRPr="00D17975" w:rsidRDefault="00D81AB3" w:rsidP="00D81AB3">
            <w:pPr>
              <w:pStyle w:val="ListParagraph"/>
              <w:numPr>
                <w:ilvl w:val="0"/>
                <w:numId w:val="3"/>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Extended school time</w:t>
            </w:r>
          </w:p>
          <w:p w14:paraId="728C86A0" w14:textId="77777777" w:rsidR="00D81AB3" w:rsidRPr="00D17975" w:rsidRDefault="00D81AB3" w:rsidP="00D81AB3">
            <w:pPr>
              <w:spacing w:after="0" w:line="240" w:lineRule="auto"/>
              <w:rPr>
                <w:rFonts w:ascii="Arial" w:hAnsi="Arial" w:cs="Arial"/>
                <w:b/>
                <w:sz w:val="20"/>
                <w:szCs w:val="20"/>
                <w:lang w:val="en-US"/>
              </w:rPr>
            </w:pPr>
          </w:p>
        </w:tc>
        <w:tc>
          <w:tcPr>
            <w:tcW w:w="4819" w:type="dxa"/>
            <w:tcBorders>
              <w:top w:val="single" w:sz="4" w:space="0" w:color="000000"/>
              <w:left w:val="double" w:sz="4" w:space="0" w:color="auto"/>
              <w:bottom w:val="double" w:sz="4" w:space="0" w:color="000000"/>
              <w:right w:val="double" w:sz="4" w:space="0" w:color="auto"/>
            </w:tcBorders>
            <w:shd w:val="clear" w:color="auto" w:fill="auto"/>
          </w:tcPr>
          <w:p w14:paraId="14158DCE" w14:textId="77777777" w:rsidR="00D81AB3" w:rsidRPr="008B1AC9" w:rsidRDefault="00D81AB3" w:rsidP="00D81AB3">
            <w:pPr>
              <w:spacing w:before="100" w:after="100"/>
              <w:ind w:left="119"/>
              <w:rPr>
                <w:rFonts w:ascii="Arial" w:hAnsi="Arial" w:cs="Arial"/>
                <w:b/>
                <w:sz w:val="24"/>
                <w:szCs w:val="24"/>
                <w:lang w:val="en-US"/>
              </w:rPr>
            </w:pPr>
          </w:p>
        </w:tc>
        <w:tc>
          <w:tcPr>
            <w:tcW w:w="4521" w:type="dxa"/>
            <w:vMerge/>
            <w:tcBorders>
              <w:top w:val="single" w:sz="4" w:space="0" w:color="000000"/>
              <w:left w:val="double" w:sz="4" w:space="0" w:color="auto"/>
              <w:bottom w:val="double" w:sz="4" w:space="0" w:color="000000"/>
              <w:right w:val="double" w:sz="4" w:space="0" w:color="auto"/>
            </w:tcBorders>
            <w:shd w:val="clear" w:color="auto" w:fill="DAEEF3" w:themeFill="accent5" w:themeFillTint="33"/>
            <w:tcMar>
              <w:top w:w="0" w:type="dxa"/>
              <w:left w:w="108" w:type="dxa"/>
              <w:bottom w:w="0" w:type="dxa"/>
              <w:right w:w="108" w:type="dxa"/>
            </w:tcMar>
          </w:tcPr>
          <w:p w14:paraId="19EDDE0C" w14:textId="77777777" w:rsidR="00D81AB3" w:rsidRPr="00800692" w:rsidRDefault="00D81AB3" w:rsidP="00D81AB3">
            <w:pPr>
              <w:pStyle w:val="NoSpacing"/>
              <w:textAlignment w:val="auto"/>
              <w:rPr>
                <w:rFonts w:ascii="Arial" w:hAnsi="Arial" w:cs="Arial"/>
                <w:sz w:val="28"/>
                <w:szCs w:val="28"/>
                <w:lang w:val="en-US" w:eastAsia="en-GB"/>
              </w:rPr>
            </w:pPr>
          </w:p>
        </w:tc>
        <w:tc>
          <w:tcPr>
            <w:tcW w:w="2551" w:type="dxa"/>
            <w:vMerge/>
            <w:tcBorders>
              <w:top w:val="single" w:sz="4" w:space="0" w:color="000000"/>
              <w:left w:val="double" w:sz="4" w:space="0" w:color="auto"/>
              <w:bottom w:val="double" w:sz="4" w:space="0" w:color="000000"/>
              <w:right w:val="double" w:sz="4" w:space="0" w:color="000000"/>
            </w:tcBorders>
            <w:shd w:val="clear" w:color="auto" w:fill="DAEEF3" w:themeFill="accent5" w:themeFillTint="33"/>
            <w:tcMar>
              <w:top w:w="0" w:type="dxa"/>
              <w:left w:w="108" w:type="dxa"/>
              <w:bottom w:w="0" w:type="dxa"/>
              <w:right w:w="108" w:type="dxa"/>
            </w:tcMar>
          </w:tcPr>
          <w:p w14:paraId="556C2D67" w14:textId="77777777" w:rsidR="00D81AB3" w:rsidRPr="00D17975" w:rsidRDefault="00D81AB3" w:rsidP="00D81AB3">
            <w:pPr>
              <w:pStyle w:val="NoSpacing"/>
              <w:jc w:val="center"/>
              <w:textAlignment w:val="auto"/>
              <w:rPr>
                <w:rFonts w:ascii="Arial" w:hAnsi="Arial" w:cs="Arial"/>
                <w:color w:val="FF0000"/>
                <w:sz w:val="28"/>
                <w:szCs w:val="28"/>
                <w:lang w:val="en-US" w:eastAsia="en-GB"/>
              </w:rPr>
            </w:pPr>
          </w:p>
        </w:tc>
      </w:tr>
      <w:tr w:rsidR="00D17975" w:rsidRPr="00D17975" w14:paraId="435A5DF7" w14:textId="77777777" w:rsidTr="00800692">
        <w:trPr>
          <w:jc w:val="center"/>
        </w:trPr>
        <w:tc>
          <w:tcPr>
            <w:tcW w:w="3828" w:type="dxa"/>
            <w:tcBorders>
              <w:top w:val="single" w:sz="4" w:space="0" w:color="000000"/>
              <w:left w:val="double" w:sz="4" w:space="0" w:color="000000"/>
              <w:bottom w:val="double" w:sz="4" w:space="0" w:color="000000"/>
              <w:right w:val="double" w:sz="4" w:space="0" w:color="auto"/>
            </w:tcBorders>
            <w:shd w:val="clear" w:color="auto" w:fill="B6DDE8" w:themeFill="accent5" w:themeFillTint="66"/>
            <w:tcMar>
              <w:top w:w="0" w:type="dxa"/>
              <w:left w:w="108" w:type="dxa"/>
              <w:bottom w:w="0" w:type="dxa"/>
              <w:right w:w="108" w:type="dxa"/>
            </w:tcMar>
          </w:tcPr>
          <w:p w14:paraId="2A1F06DB" w14:textId="77777777" w:rsidR="00D81AB3" w:rsidRPr="00D17975" w:rsidRDefault="00D81AB3" w:rsidP="00D81AB3">
            <w:pPr>
              <w:spacing w:after="0" w:line="240" w:lineRule="auto"/>
              <w:rPr>
                <w:rFonts w:ascii="Arial" w:eastAsia="Times New Roman" w:hAnsi="Arial" w:cs="Arial"/>
                <w:b/>
                <w:sz w:val="20"/>
                <w:szCs w:val="20"/>
                <w:lang w:eastAsia="en-GB"/>
              </w:rPr>
            </w:pPr>
            <w:r w:rsidRPr="00D17975">
              <w:rPr>
                <w:rFonts w:ascii="Arial" w:eastAsia="Times New Roman" w:hAnsi="Arial" w:cs="Arial"/>
                <w:b/>
                <w:bCs/>
                <w:sz w:val="20"/>
                <w:szCs w:val="20"/>
                <w:lang w:eastAsia="en-GB"/>
              </w:rPr>
              <w:t>Wider strategies</w:t>
            </w:r>
          </w:p>
          <w:p w14:paraId="0356CD43" w14:textId="77777777" w:rsidR="00D81AB3" w:rsidRPr="00D17975" w:rsidRDefault="00D81AB3" w:rsidP="00D81AB3">
            <w:pPr>
              <w:pStyle w:val="ListParagraph"/>
              <w:numPr>
                <w:ilvl w:val="0"/>
                <w:numId w:val="4"/>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Supporting parent and carers</w:t>
            </w:r>
          </w:p>
          <w:p w14:paraId="340D44AE" w14:textId="77777777" w:rsidR="00D81AB3" w:rsidRPr="00D17975" w:rsidRDefault="00D81AB3" w:rsidP="00D81AB3">
            <w:pPr>
              <w:pStyle w:val="ListParagraph"/>
              <w:numPr>
                <w:ilvl w:val="0"/>
                <w:numId w:val="4"/>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Access to technology</w:t>
            </w:r>
          </w:p>
          <w:p w14:paraId="7C1089AB" w14:textId="77777777" w:rsidR="00D81AB3" w:rsidRPr="00D17975" w:rsidRDefault="00D81AB3" w:rsidP="00D81AB3">
            <w:pPr>
              <w:pStyle w:val="ListParagraph"/>
              <w:numPr>
                <w:ilvl w:val="0"/>
                <w:numId w:val="4"/>
              </w:numPr>
              <w:spacing w:after="0" w:line="240" w:lineRule="auto"/>
              <w:rPr>
                <w:rFonts w:ascii="Arial" w:eastAsia="Times New Roman" w:hAnsi="Arial" w:cs="Arial"/>
                <w:b/>
                <w:sz w:val="20"/>
                <w:szCs w:val="20"/>
                <w:lang w:eastAsia="en-GB"/>
              </w:rPr>
            </w:pPr>
            <w:r w:rsidRPr="00D17975">
              <w:rPr>
                <w:rFonts w:ascii="Arial" w:eastAsia="Times New Roman" w:hAnsi="Arial" w:cs="Arial"/>
                <w:b/>
                <w:sz w:val="20"/>
                <w:szCs w:val="20"/>
                <w:lang w:eastAsia="en-GB"/>
              </w:rPr>
              <w:t>Summer support</w:t>
            </w:r>
          </w:p>
        </w:tc>
        <w:tc>
          <w:tcPr>
            <w:tcW w:w="4819" w:type="dxa"/>
            <w:tcBorders>
              <w:top w:val="single" w:sz="4" w:space="0" w:color="000000"/>
              <w:left w:val="double" w:sz="4" w:space="0" w:color="auto"/>
              <w:bottom w:val="double" w:sz="4" w:space="0" w:color="000000"/>
              <w:right w:val="double" w:sz="4" w:space="0" w:color="auto"/>
            </w:tcBorders>
            <w:shd w:val="clear" w:color="auto" w:fill="auto"/>
          </w:tcPr>
          <w:p w14:paraId="217E69BF" w14:textId="77777777" w:rsidR="00D81AB3" w:rsidRPr="008B1AC9" w:rsidRDefault="00D81AB3" w:rsidP="00D81AB3">
            <w:pPr>
              <w:pStyle w:val="NoSpacing"/>
              <w:ind w:left="119"/>
              <w:textAlignment w:val="auto"/>
              <w:rPr>
                <w:rFonts w:ascii="Arial" w:eastAsia="Times New Roman" w:hAnsi="Arial" w:cs="Arial"/>
                <w:b/>
                <w:color w:val="FF0000"/>
                <w:sz w:val="24"/>
                <w:szCs w:val="24"/>
                <w:lang w:val="en-US" w:eastAsia="en-GB"/>
              </w:rPr>
            </w:pPr>
          </w:p>
        </w:tc>
        <w:tc>
          <w:tcPr>
            <w:tcW w:w="4521" w:type="dxa"/>
            <w:vMerge/>
            <w:tcBorders>
              <w:top w:val="single" w:sz="4" w:space="0" w:color="000000"/>
              <w:left w:val="double" w:sz="4" w:space="0" w:color="auto"/>
              <w:bottom w:val="double" w:sz="4" w:space="0" w:color="000000"/>
              <w:right w:val="double" w:sz="4" w:space="0" w:color="auto"/>
            </w:tcBorders>
            <w:shd w:val="clear" w:color="auto" w:fill="DAEEF3" w:themeFill="accent5" w:themeFillTint="33"/>
            <w:tcMar>
              <w:top w:w="0" w:type="dxa"/>
              <w:left w:w="108" w:type="dxa"/>
              <w:bottom w:w="0" w:type="dxa"/>
              <w:right w:w="108" w:type="dxa"/>
            </w:tcMar>
          </w:tcPr>
          <w:p w14:paraId="09AB8B59" w14:textId="77777777" w:rsidR="00D81AB3" w:rsidRPr="00D17975" w:rsidRDefault="00D81AB3" w:rsidP="00D81AB3">
            <w:pPr>
              <w:pStyle w:val="NoSpacing"/>
              <w:textAlignment w:val="auto"/>
              <w:rPr>
                <w:rFonts w:ascii="Arial" w:hAnsi="Arial" w:cs="Arial"/>
                <w:color w:val="FF0000"/>
                <w:sz w:val="28"/>
                <w:szCs w:val="28"/>
                <w:lang w:val="en-US" w:eastAsia="en-GB"/>
              </w:rPr>
            </w:pPr>
          </w:p>
        </w:tc>
        <w:tc>
          <w:tcPr>
            <w:tcW w:w="2551" w:type="dxa"/>
            <w:vMerge/>
            <w:tcBorders>
              <w:top w:val="single" w:sz="4" w:space="0" w:color="000000"/>
              <w:left w:val="double" w:sz="4" w:space="0" w:color="auto"/>
              <w:bottom w:val="double" w:sz="4" w:space="0" w:color="000000"/>
              <w:right w:val="double" w:sz="4" w:space="0" w:color="000000"/>
            </w:tcBorders>
            <w:shd w:val="clear" w:color="auto" w:fill="DAEEF3" w:themeFill="accent5" w:themeFillTint="33"/>
            <w:tcMar>
              <w:top w:w="0" w:type="dxa"/>
              <w:left w:w="108" w:type="dxa"/>
              <w:bottom w:w="0" w:type="dxa"/>
              <w:right w:w="108" w:type="dxa"/>
            </w:tcMar>
          </w:tcPr>
          <w:p w14:paraId="150D8956" w14:textId="77777777" w:rsidR="00D81AB3" w:rsidRPr="00D17975" w:rsidRDefault="00D81AB3" w:rsidP="00D81AB3">
            <w:pPr>
              <w:pStyle w:val="NoSpacing"/>
              <w:jc w:val="center"/>
              <w:textAlignment w:val="auto"/>
              <w:rPr>
                <w:rFonts w:ascii="Arial" w:hAnsi="Arial" w:cs="Arial"/>
                <w:color w:val="FF0000"/>
                <w:sz w:val="28"/>
                <w:szCs w:val="28"/>
                <w:lang w:val="en-US" w:eastAsia="en-GB"/>
              </w:rPr>
            </w:pPr>
          </w:p>
        </w:tc>
      </w:tr>
    </w:tbl>
    <w:p w14:paraId="7CD3AFA2" w14:textId="77777777" w:rsidR="00D32360" w:rsidRPr="00D17975" w:rsidRDefault="00D32360">
      <w:pPr>
        <w:rPr>
          <w:rFonts w:ascii="Arial" w:hAnsi="Arial" w:cs="Arial"/>
          <w:color w:val="FF0000"/>
          <w:sz w:val="2"/>
          <w:szCs w:val="2"/>
        </w:rPr>
      </w:pPr>
    </w:p>
    <w:p w14:paraId="6005D110" w14:textId="77777777" w:rsidR="00F66344" w:rsidRPr="00D17975" w:rsidRDefault="00F66344">
      <w:pPr>
        <w:rPr>
          <w:rFonts w:ascii="Arial" w:hAnsi="Arial" w:cs="Arial"/>
          <w:color w:val="FF0000"/>
          <w:sz w:val="2"/>
          <w:szCs w:val="2"/>
        </w:rPr>
      </w:pPr>
    </w:p>
    <w:p w14:paraId="5A322C5A" w14:textId="77777777" w:rsidR="00F66344" w:rsidRPr="00D17975" w:rsidRDefault="00F66344">
      <w:pPr>
        <w:rPr>
          <w:rFonts w:ascii="Arial" w:hAnsi="Arial" w:cs="Arial"/>
          <w:color w:val="FF0000"/>
          <w:sz w:val="2"/>
          <w:szCs w:val="2"/>
        </w:rPr>
      </w:pPr>
    </w:p>
    <w:p w14:paraId="51DC54DB" w14:textId="77777777" w:rsidR="00F66344" w:rsidRDefault="00F66344">
      <w:pPr>
        <w:rPr>
          <w:rFonts w:ascii="Arial" w:hAnsi="Arial" w:cs="Arial"/>
          <w:color w:val="FF0000"/>
          <w:sz w:val="2"/>
          <w:szCs w:val="2"/>
        </w:rPr>
      </w:pPr>
    </w:p>
    <w:p w14:paraId="0CB03F70" w14:textId="77777777" w:rsidR="00800692" w:rsidRDefault="00800692">
      <w:pPr>
        <w:rPr>
          <w:rFonts w:ascii="Arial" w:hAnsi="Arial" w:cs="Arial"/>
          <w:color w:val="FF0000"/>
          <w:sz w:val="2"/>
          <w:szCs w:val="2"/>
        </w:rPr>
      </w:pPr>
    </w:p>
    <w:p w14:paraId="607E520D" w14:textId="77777777" w:rsidR="00800692" w:rsidRDefault="00800692">
      <w:pPr>
        <w:rPr>
          <w:rFonts w:ascii="Arial" w:hAnsi="Arial" w:cs="Arial"/>
          <w:color w:val="FF0000"/>
          <w:sz w:val="2"/>
          <w:szCs w:val="2"/>
        </w:rPr>
      </w:pPr>
    </w:p>
    <w:p w14:paraId="691E968F" w14:textId="77777777" w:rsidR="00800692" w:rsidRPr="00D17975" w:rsidRDefault="00800692">
      <w:pPr>
        <w:rPr>
          <w:rFonts w:ascii="Arial" w:hAnsi="Arial" w:cs="Arial"/>
          <w:color w:val="FF0000"/>
          <w:sz w:val="2"/>
          <w:szCs w:val="2"/>
        </w:rPr>
      </w:pPr>
    </w:p>
    <w:tbl>
      <w:tblPr>
        <w:tblW w:w="14639" w:type="dxa"/>
        <w:jc w:val="center"/>
        <w:tblLayout w:type="fixed"/>
        <w:tblCellMar>
          <w:left w:w="10" w:type="dxa"/>
          <w:right w:w="10" w:type="dxa"/>
        </w:tblCellMar>
        <w:tblLook w:val="04A0" w:firstRow="1" w:lastRow="0" w:firstColumn="1" w:lastColumn="0" w:noHBand="0" w:noVBand="1"/>
      </w:tblPr>
      <w:tblGrid>
        <w:gridCol w:w="3238"/>
        <w:gridCol w:w="4961"/>
        <w:gridCol w:w="1417"/>
        <w:gridCol w:w="1622"/>
        <w:gridCol w:w="3401"/>
      </w:tblGrid>
      <w:tr w:rsidR="00BB14FD" w:rsidRPr="00D17975" w14:paraId="42F4BC4F" w14:textId="77777777" w:rsidTr="00CB36B2">
        <w:trPr>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5582E3FC" w14:textId="77777777" w:rsidR="00BB14FD" w:rsidRPr="00800692" w:rsidRDefault="00BB14FD" w:rsidP="00D81AB3">
            <w:pPr>
              <w:spacing w:before="100" w:after="100"/>
              <w:jc w:val="center"/>
              <w:rPr>
                <w:rFonts w:ascii="Arial Rounded MT Bold" w:hAnsi="Arial Rounded MT Bold" w:cs="Arial"/>
                <w:b/>
                <w:sz w:val="32"/>
                <w:szCs w:val="32"/>
                <w:lang w:val="en-US"/>
              </w:rPr>
            </w:pPr>
            <w:r w:rsidRPr="00800692">
              <w:rPr>
                <w:rFonts w:ascii="Arial Rounded MT Bold" w:hAnsi="Arial Rounded MT Bold" w:cs="Arial"/>
                <w:b/>
                <w:sz w:val="32"/>
                <w:szCs w:val="32"/>
                <w:lang w:val="en-US"/>
              </w:rPr>
              <w:lastRenderedPageBreak/>
              <w:t>Priority Areas:</w:t>
            </w:r>
          </w:p>
        </w:tc>
        <w:tc>
          <w:tcPr>
            <w:tcW w:w="4961"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Pr>
          <w:p w14:paraId="197113F0" w14:textId="77777777" w:rsidR="00BB14FD" w:rsidRPr="00800692" w:rsidRDefault="00BB14FD" w:rsidP="00D81AB3">
            <w:pPr>
              <w:spacing w:before="100" w:after="100"/>
              <w:jc w:val="center"/>
              <w:rPr>
                <w:rFonts w:ascii="Arial Rounded MT Bold" w:hAnsi="Arial Rounded MT Bold" w:cs="Arial"/>
                <w:b/>
                <w:sz w:val="32"/>
                <w:szCs w:val="32"/>
                <w:lang w:val="en-US"/>
              </w:rPr>
            </w:pPr>
            <w:r w:rsidRPr="00800692">
              <w:rPr>
                <w:rFonts w:ascii="Arial Rounded MT Bold" w:hAnsi="Arial Rounded MT Bold" w:cs="Arial"/>
                <w:b/>
                <w:sz w:val="32"/>
                <w:szCs w:val="32"/>
                <w:lang w:val="en-US"/>
              </w:rPr>
              <w:t>Actions</w:t>
            </w:r>
          </w:p>
        </w:tc>
        <w:tc>
          <w:tcPr>
            <w:tcW w:w="1417" w:type="dxa"/>
            <w:tcBorders>
              <w:top w:val="double" w:sz="4" w:space="0" w:color="000000"/>
              <w:left w:val="double" w:sz="4" w:space="0" w:color="000000"/>
              <w:bottom w:val="double" w:sz="4" w:space="0" w:color="000000"/>
              <w:right w:val="double" w:sz="4" w:space="0" w:color="auto"/>
            </w:tcBorders>
            <w:shd w:val="clear" w:color="auto" w:fill="B6DDE8" w:themeFill="accent5" w:themeFillTint="66"/>
            <w:tcMar>
              <w:top w:w="0" w:type="dxa"/>
              <w:left w:w="108" w:type="dxa"/>
              <w:bottom w:w="0" w:type="dxa"/>
              <w:right w:w="108" w:type="dxa"/>
            </w:tcMar>
          </w:tcPr>
          <w:p w14:paraId="2216AC6A" w14:textId="77777777" w:rsidR="00BB14FD" w:rsidRPr="00800692" w:rsidRDefault="00BB14FD" w:rsidP="00D81AB3">
            <w:pPr>
              <w:spacing w:before="100" w:after="100"/>
              <w:jc w:val="center"/>
              <w:rPr>
                <w:rFonts w:ascii="Arial Rounded MT Bold" w:hAnsi="Arial Rounded MT Bold" w:cs="Arial"/>
                <w:b/>
                <w:sz w:val="16"/>
                <w:szCs w:val="16"/>
                <w:lang w:val="en-US"/>
              </w:rPr>
            </w:pPr>
            <w:r w:rsidRPr="00800692">
              <w:rPr>
                <w:rFonts w:ascii="Arial Rounded MT Bold" w:hAnsi="Arial Rounded MT Bold" w:cs="Arial"/>
                <w:b/>
                <w:sz w:val="16"/>
                <w:szCs w:val="16"/>
                <w:lang w:val="en-US"/>
              </w:rPr>
              <w:t>Who</w:t>
            </w:r>
          </w:p>
        </w:tc>
        <w:tc>
          <w:tcPr>
            <w:tcW w:w="1622" w:type="dxa"/>
            <w:tcBorders>
              <w:top w:val="double" w:sz="4" w:space="0" w:color="000000"/>
              <w:left w:val="double" w:sz="4" w:space="0" w:color="auto"/>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5AE12A42" w14:textId="77777777" w:rsidR="00BB14FD" w:rsidRPr="00800692" w:rsidRDefault="00BB14FD" w:rsidP="00D81AB3">
            <w:pPr>
              <w:spacing w:before="100" w:after="100"/>
              <w:jc w:val="center"/>
              <w:rPr>
                <w:rFonts w:ascii="Arial Rounded MT Bold" w:hAnsi="Arial Rounded MT Bold" w:cs="Arial"/>
                <w:b/>
                <w:sz w:val="16"/>
                <w:szCs w:val="16"/>
                <w:lang w:val="en-US"/>
              </w:rPr>
            </w:pPr>
            <w:r w:rsidRPr="00800692">
              <w:rPr>
                <w:rFonts w:ascii="Arial Rounded MT Bold" w:hAnsi="Arial Rounded MT Bold" w:cs="Arial"/>
                <w:b/>
                <w:sz w:val="16"/>
                <w:szCs w:val="16"/>
                <w:lang w:val="en-US"/>
              </w:rPr>
              <w:t>When</w:t>
            </w:r>
          </w:p>
        </w:tc>
        <w:tc>
          <w:tcPr>
            <w:tcW w:w="3401" w:type="dxa"/>
            <w:tcBorders>
              <w:top w:val="double" w:sz="4" w:space="0" w:color="000000"/>
              <w:left w:val="double" w:sz="4" w:space="0" w:color="000000"/>
              <w:bottom w:val="double" w:sz="4" w:space="0" w:color="000000"/>
              <w:right w:val="single" w:sz="4" w:space="0" w:color="000000"/>
            </w:tcBorders>
            <w:shd w:val="clear" w:color="auto" w:fill="B6DDE8" w:themeFill="accent5" w:themeFillTint="66"/>
            <w:tcMar>
              <w:top w:w="0" w:type="dxa"/>
              <w:left w:w="108" w:type="dxa"/>
              <w:bottom w:w="0" w:type="dxa"/>
              <w:right w:w="108" w:type="dxa"/>
            </w:tcMar>
          </w:tcPr>
          <w:p w14:paraId="0B1F1852" w14:textId="77777777" w:rsidR="00BB14FD" w:rsidRPr="00800692" w:rsidRDefault="00BB14FD" w:rsidP="00D81AB3">
            <w:pPr>
              <w:pStyle w:val="NoSpacing"/>
              <w:jc w:val="center"/>
              <w:textAlignment w:val="auto"/>
              <w:rPr>
                <w:rFonts w:ascii="Arial Rounded MT Bold" w:eastAsia="Times New Roman" w:hAnsi="Arial Rounded MT Bold" w:cs="Arial"/>
                <w:b/>
                <w:sz w:val="32"/>
                <w:szCs w:val="32"/>
                <w:lang w:val="en-US" w:eastAsia="en-GB"/>
              </w:rPr>
            </w:pPr>
            <w:r w:rsidRPr="00800692">
              <w:rPr>
                <w:rFonts w:ascii="Arial Rounded MT Bold" w:eastAsia="Times New Roman" w:hAnsi="Arial Rounded MT Bold" w:cs="Arial"/>
                <w:b/>
                <w:sz w:val="32"/>
                <w:szCs w:val="32"/>
                <w:lang w:val="en-US" w:eastAsia="en-GB"/>
              </w:rPr>
              <w:t>Costings</w:t>
            </w:r>
          </w:p>
        </w:tc>
      </w:tr>
      <w:tr w:rsidR="00BB14FD" w:rsidRPr="00800692" w14:paraId="71B486C1" w14:textId="77777777" w:rsidTr="00CB36B2">
        <w:trPr>
          <w:trHeight w:val="2516"/>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41E8F738" w14:textId="77777777" w:rsidR="00BB14FD" w:rsidRPr="00060362" w:rsidRDefault="004C34E1" w:rsidP="00533472">
            <w:pPr>
              <w:pStyle w:val="NoSpacing"/>
              <w:textAlignment w:val="auto"/>
              <w:rPr>
                <w:rFonts w:ascii="Arial" w:hAnsi="Arial" w:cs="Arial"/>
                <w:b/>
                <w:sz w:val="24"/>
                <w:szCs w:val="24"/>
              </w:rPr>
            </w:pPr>
            <w:r>
              <w:rPr>
                <w:rFonts w:ascii="Arial" w:hAnsi="Arial" w:cs="Arial"/>
                <w:b/>
                <w:sz w:val="24"/>
                <w:szCs w:val="24"/>
              </w:rPr>
              <w:t>Quality of Education</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2160F4FD" w14:textId="77777777" w:rsidR="004C34E1" w:rsidRPr="00796AA0" w:rsidRDefault="004C34E1" w:rsidP="004C34E1">
            <w:pPr>
              <w:numPr>
                <w:ilvl w:val="0"/>
                <w:numId w:val="11"/>
              </w:numPr>
              <w:spacing w:after="0" w:line="240" w:lineRule="auto"/>
              <w:rPr>
                <w:rFonts w:ascii="Arial" w:eastAsia="Calibri" w:hAnsi="Arial" w:cs="Arial"/>
                <w:color w:val="000000"/>
                <w:sz w:val="20"/>
                <w:szCs w:val="20"/>
              </w:rPr>
            </w:pPr>
            <w:r w:rsidRPr="00796AA0">
              <w:rPr>
                <w:rFonts w:ascii="Arial" w:eastAsia="Calibri" w:hAnsi="Arial" w:cs="Arial"/>
                <w:sz w:val="20"/>
                <w:szCs w:val="20"/>
              </w:rPr>
              <w:t>Implement a robust recovery plan to include recovery of the lost curriculum during lockdown summer 2020 and also includes bespoke recovery tutoring for those pupils who are struggling to catch up.</w:t>
            </w:r>
          </w:p>
          <w:p w14:paraId="1FA358FE" w14:textId="77777777" w:rsidR="00BB14FD" w:rsidRPr="00796AA0" w:rsidRDefault="004C34E1" w:rsidP="004C34E1">
            <w:pPr>
              <w:pStyle w:val="ListParagraph"/>
              <w:numPr>
                <w:ilvl w:val="0"/>
                <w:numId w:val="11"/>
              </w:numPr>
              <w:spacing w:before="100" w:after="100"/>
              <w:rPr>
                <w:rFonts w:ascii="Arial" w:hAnsi="Arial" w:cs="Arial"/>
                <w:sz w:val="20"/>
                <w:szCs w:val="20"/>
                <w:lang w:val="en-US"/>
              </w:rPr>
            </w:pPr>
            <w:r w:rsidRPr="00796AA0">
              <w:rPr>
                <w:rFonts w:ascii="Arial" w:eastAsia="Calibri" w:hAnsi="Arial" w:cs="Arial"/>
                <w:color w:val="000000"/>
                <w:sz w:val="20"/>
                <w:szCs w:val="20"/>
              </w:rPr>
              <w:t>Embed recently revised curriculum programmes of study including embedding with new staff and staff new to year groups, to ensure the curriculum offer is broad, full and balanced, studied by all and is both knowledge-led whilst promoting mastery of skills. Ensure all planning includes coverage of knowledge, skills and vocabulary across all areas of learning.</w:t>
            </w:r>
          </w:p>
        </w:tc>
        <w:tc>
          <w:tcPr>
            <w:tcW w:w="1417" w:type="dxa"/>
            <w:tcBorders>
              <w:top w:val="double" w:sz="4" w:space="0" w:color="000000"/>
              <w:left w:val="double" w:sz="4" w:space="0" w:color="000000"/>
              <w:bottom w:val="double" w:sz="4" w:space="0" w:color="000000"/>
              <w:right w:val="double" w:sz="4" w:space="0" w:color="auto"/>
            </w:tcBorders>
            <w:shd w:val="clear" w:color="auto" w:fill="FFFFFF"/>
            <w:tcMar>
              <w:top w:w="0" w:type="dxa"/>
              <w:left w:w="108" w:type="dxa"/>
              <w:bottom w:w="0" w:type="dxa"/>
              <w:right w:w="108" w:type="dxa"/>
            </w:tcMar>
          </w:tcPr>
          <w:p w14:paraId="5899BBE6" w14:textId="77777777" w:rsidR="00BB14FD" w:rsidRPr="00796AA0" w:rsidRDefault="00BB14FD" w:rsidP="003239E9">
            <w:pPr>
              <w:spacing w:before="100" w:after="100"/>
              <w:jc w:val="center"/>
              <w:rPr>
                <w:rFonts w:ascii="Arial" w:hAnsi="Arial" w:cs="Arial"/>
                <w:sz w:val="20"/>
                <w:szCs w:val="20"/>
                <w:lang w:val="en-US"/>
              </w:rPr>
            </w:pPr>
          </w:p>
        </w:tc>
        <w:tc>
          <w:tcPr>
            <w:tcW w:w="1622" w:type="dxa"/>
            <w:tcBorders>
              <w:top w:val="double" w:sz="4" w:space="0" w:color="000000"/>
              <w:left w:val="double" w:sz="4" w:space="0" w:color="auto"/>
              <w:bottom w:val="double" w:sz="4" w:space="0" w:color="000000"/>
              <w:right w:val="double" w:sz="4" w:space="0" w:color="000000"/>
            </w:tcBorders>
            <w:shd w:val="clear" w:color="auto" w:fill="FFFFFF"/>
            <w:tcMar>
              <w:top w:w="0" w:type="dxa"/>
              <w:left w:w="108" w:type="dxa"/>
              <w:bottom w:w="0" w:type="dxa"/>
              <w:right w:w="108" w:type="dxa"/>
            </w:tcMar>
          </w:tcPr>
          <w:p w14:paraId="1CCA462A" w14:textId="77777777" w:rsidR="00BB14FD" w:rsidRPr="00796AA0" w:rsidRDefault="00BB14FD" w:rsidP="003239E9">
            <w:pPr>
              <w:spacing w:before="100" w:after="100"/>
              <w:rPr>
                <w:rFonts w:ascii="Arial" w:hAnsi="Arial" w:cs="Arial"/>
                <w:sz w:val="20"/>
                <w:szCs w:val="20"/>
                <w:lang w:val="en-US"/>
              </w:rPr>
            </w:pPr>
          </w:p>
        </w:tc>
        <w:tc>
          <w:tcPr>
            <w:tcW w:w="3401"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16F28A68" w14:textId="77777777" w:rsidR="00BB14FD" w:rsidRPr="00796AA0" w:rsidRDefault="00BB14FD" w:rsidP="00E93808">
            <w:pPr>
              <w:pStyle w:val="NoSpacing"/>
              <w:textAlignment w:val="auto"/>
              <w:rPr>
                <w:rFonts w:ascii="Arial" w:eastAsia="Times New Roman" w:hAnsi="Arial" w:cs="Arial"/>
                <w:b/>
                <w:sz w:val="20"/>
                <w:szCs w:val="20"/>
                <w:lang w:val="en-US" w:eastAsia="en-GB"/>
              </w:rPr>
            </w:pPr>
          </w:p>
        </w:tc>
      </w:tr>
      <w:tr w:rsidR="00CB36B2" w:rsidRPr="00800692" w14:paraId="284171BF" w14:textId="77777777" w:rsidTr="00CB36B2">
        <w:trPr>
          <w:trHeight w:val="2840"/>
          <w:jc w:val="center"/>
        </w:trPr>
        <w:tc>
          <w:tcPr>
            <w:tcW w:w="3238" w:type="dxa"/>
            <w:vMerge w:val="restart"/>
            <w:tcBorders>
              <w:top w:val="double" w:sz="4" w:space="0" w:color="000000"/>
              <w:left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35A28530" w14:textId="77777777" w:rsidR="00CB36B2" w:rsidRPr="00060362" w:rsidRDefault="00CB36B2" w:rsidP="00533472">
            <w:pPr>
              <w:pStyle w:val="NoSpacing"/>
              <w:textAlignment w:val="auto"/>
              <w:rPr>
                <w:rFonts w:ascii="Arial" w:hAnsi="Arial" w:cs="Arial"/>
                <w:b/>
                <w:sz w:val="24"/>
                <w:szCs w:val="24"/>
              </w:rPr>
            </w:pPr>
            <w:r>
              <w:rPr>
                <w:rFonts w:ascii="Arial" w:hAnsi="Arial" w:cs="Arial"/>
                <w:b/>
                <w:sz w:val="24"/>
                <w:szCs w:val="24"/>
              </w:rPr>
              <w:t>Personal Development</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692C7AAA" w14:textId="00C32C83" w:rsidR="00CB36B2" w:rsidRPr="00796AA0" w:rsidRDefault="00CB36B2" w:rsidP="00CB36B2">
            <w:pPr>
              <w:pStyle w:val="ListParagraph"/>
              <w:spacing w:before="100" w:after="100"/>
              <w:ind w:left="851"/>
              <w:rPr>
                <w:rFonts w:ascii="Arial" w:eastAsia="Calibri" w:hAnsi="Arial" w:cs="Arial"/>
                <w:sz w:val="20"/>
                <w:szCs w:val="20"/>
              </w:rPr>
            </w:pPr>
            <w:r w:rsidRPr="00796AA0">
              <w:rPr>
                <w:rFonts w:ascii="Arial" w:eastAsia="Calibri" w:hAnsi="Arial" w:cs="Arial"/>
                <w:sz w:val="20"/>
                <w:szCs w:val="20"/>
              </w:rPr>
              <w:tab/>
            </w:r>
          </w:p>
          <w:p w14:paraId="6A6ACC1C" w14:textId="77777777" w:rsidR="00CB36B2" w:rsidRPr="00796AA0" w:rsidRDefault="00CB36B2" w:rsidP="00CB36B2">
            <w:pPr>
              <w:pStyle w:val="ListParagraph"/>
              <w:numPr>
                <w:ilvl w:val="0"/>
                <w:numId w:val="6"/>
              </w:numPr>
              <w:spacing w:before="100" w:after="100"/>
              <w:rPr>
                <w:rFonts w:ascii="Arial" w:eastAsia="Calibri" w:hAnsi="Arial" w:cs="Arial"/>
                <w:sz w:val="20"/>
                <w:szCs w:val="20"/>
              </w:rPr>
            </w:pPr>
            <w:r w:rsidRPr="00796AA0">
              <w:rPr>
                <w:rFonts w:ascii="Arial" w:eastAsia="Calibri" w:hAnsi="Arial" w:cs="Arial"/>
                <w:sz w:val="20"/>
                <w:szCs w:val="20"/>
              </w:rPr>
              <w:t>F2 – the majority of the F2 children did not attend nursery during the summer term and several gaps are emerging.</w:t>
            </w:r>
          </w:p>
          <w:p w14:paraId="1E252DC8" w14:textId="77777777" w:rsidR="00CB36B2" w:rsidRPr="00796AA0" w:rsidRDefault="00CB36B2" w:rsidP="00CB36B2">
            <w:pPr>
              <w:pStyle w:val="ListParagraph"/>
              <w:numPr>
                <w:ilvl w:val="0"/>
                <w:numId w:val="6"/>
              </w:numPr>
              <w:spacing w:before="100" w:after="100"/>
              <w:rPr>
                <w:rFonts w:ascii="Arial" w:eastAsia="Calibri" w:hAnsi="Arial" w:cs="Arial"/>
                <w:sz w:val="20"/>
                <w:szCs w:val="20"/>
              </w:rPr>
            </w:pPr>
            <w:r w:rsidRPr="00796AA0">
              <w:rPr>
                <w:rFonts w:ascii="Arial" w:eastAsia="Calibri" w:hAnsi="Arial" w:cs="Arial"/>
                <w:sz w:val="20"/>
                <w:szCs w:val="20"/>
              </w:rPr>
              <w:t>Their independent and personal skills are not where we would expect them to be.</w:t>
            </w:r>
          </w:p>
          <w:p w14:paraId="46897A0E" w14:textId="10967B46" w:rsidR="00CB36B2" w:rsidRPr="00796AA0" w:rsidRDefault="00CB36B2" w:rsidP="00CB36B2">
            <w:pPr>
              <w:pStyle w:val="ListParagraph"/>
              <w:numPr>
                <w:ilvl w:val="0"/>
                <w:numId w:val="6"/>
              </w:numPr>
              <w:spacing w:before="100" w:after="100"/>
              <w:rPr>
                <w:rFonts w:ascii="Arial" w:hAnsi="Arial" w:cs="Arial"/>
                <w:sz w:val="20"/>
                <w:szCs w:val="20"/>
                <w:lang w:val="en-US"/>
              </w:rPr>
            </w:pPr>
            <w:r w:rsidRPr="00796AA0">
              <w:rPr>
                <w:rFonts w:ascii="Arial" w:eastAsia="Calibri" w:hAnsi="Arial" w:cs="Arial"/>
                <w:sz w:val="20"/>
                <w:szCs w:val="20"/>
              </w:rPr>
              <w:t xml:space="preserve">Learning is also behind where we would expect them to be on entry to F2. </w:t>
            </w:r>
          </w:p>
          <w:p w14:paraId="314D9BF4" w14:textId="77777777" w:rsidR="00CB36B2" w:rsidRPr="00796AA0" w:rsidRDefault="00CB36B2" w:rsidP="00CB36B2">
            <w:pPr>
              <w:spacing w:before="100" w:after="100"/>
              <w:rPr>
                <w:rFonts w:ascii="Arial" w:hAnsi="Arial" w:cs="Arial"/>
                <w:sz w:val="20"/>
                <w:szCs w:val="20"/>
                <w:lang w:val="en-US"/>
              </w:rPr>
            </w:pPr>
          </w:p>
          <w:p w14:paraId="36DC4BA5" w14:textId="4B19A14B" w:rsidR="00CB36B2" w:rsidRPr="00796AA0" w:rsidRDefault="00CB36B2" w:rsidP="00CB36B2">
            <w:pPr>
              <w:spacing w:before="100" w:after="100"/>
              <w:rPr>
                <w:rFonts w:ascii="Arial" w:hAnsi="Arial" w:cs="Arial"/>
                <w:sz w:val="20"/>
                <w:szCs w:val="20"/>
                <w:lang w:val="en-US"/>
              </w:rPr>
            </w:pPr>
          </w:p>
        </w:tc>
        <w:tc>
          <w:tcPr>
            <w:tcW w:w="1417" w:type="dxa"/>
            <w:vMerge w:val="restart"/>
            <w:tcBorders>
              <w:top w:val="double" w:sz="4" w:space="0" w:color="000000"/>
              <w:left w:val="double" w:sz="4" w:space="0" w:color="000000"/>
              <w:right w:val="double" w:sz="4" w:space="0" w:color="auto"/>
            </w:tcBorders>
            <w:shd w:val="clear" w:color="auto" w:fill="FFFFFF"/>
            <w:tcMar>
              <w:top w:w="0" w:type="dxa"/>
              <w:left w:w="108" w:type="dxa"/>
              <w:bottom w:w="0" w:type="dxa"/>
              <w:right w:w="108" w:type="dxa"/>
            </w:tcMar>
          </w:tcPr>
          <w:p w14:paraId="3C4EBE2D" w14:textId="56B7603F" w:rsidR="00CB36B2" w:rsidRPr="00796AA0" w:rsidRDefault="00CB36B2" w:rsidP="00CB36B2">
            <w:pPr>
              <w:spacing w:before="100" w:after="100"/>
              <w:rPr>
                <w:rFonts w:ascii="Arial" w:hAnsi="Arial" w:cs="Arial"/>
                <w:sz w:val="20"/>
                <w:szCs w:val="20"/>
                <w:lang w:val="en-US"/>
              </w:rPr>
            </w:pPr>
            <w:r w:rsidRPr="00796AA0">
              <w:rPr>
                <w:rFonts w:ascii="Arial" w:hAnsi="Arial" w:cs="Arial"/>
                <w:sz w:val="20"/>
                <w:szCs w:val="20"/>
                <w:lang w:val="en-US"/>
              </w:rPr>
              <w:t>Band D teaching assistant</w:t>
            </w:r>
          </w:p>
        </w:tc>
        <w:tc>
          <w:tcPr>
            <w:tcW w:w="1622" w:type="dxa"/>
            <w:vMerge w:val="restart"/>
            <w:tcBorders>
              <w:top w:val="double" w:sz="4" w:space="0" w:color="000000"/>
              <w:left w:val="double" w:sz="4" w:space="0" w:color="auto"/>
              <w:right w:val="double" w:sz="4" w:space="0" w:color="000000"/>
            </w:tcBorders>
            <w:shd w:val="clear" w:color="auto" w:fill="FFFFFF"/>
            <w:tcMar>
              <w:top w:w="0" w:type="dxa"/>
              <w:left w:w="108" w:type="dxa"/>
              <w:bottom w:w="0" w:type="dxa"/>
              <w:right w:w="108" w:type="dxa"/>
            </w:tcMar>
          </w:tcPr>
          <w:p w14:paraId="33E297E5" w14:textId="60554EE8" w:rsidR="00CB36B2" w:rsidRPr="00796AA0" w:rsidRDefault="00CB36B2" w:rsidP="00033EF9">
            <w:pPr>
              <w:spacing w:before="100" w:after="100"/>
              <w:jc w:val="center"/>
              <w:rPr>
                <w:rFonts w:ascii="Arial" w:hAnsi="Arial" w:cs="Arial"/>
                <w:sz w:val="20"/>
                <w:szCs w:val="20"/>
                <w:lang w:val="en-US"/>
              </w:rPr>
            </w:pPr>
            <w:r w:rsidRPr="00796AA0">
              <w:rPr>
                <w:rFonts w:ascii="Arial" w:hAnsi="Arial" w:cs="Arial"/>
                <w:sz w:val="20"/>
                <w:szCs w:val="20"/>
                <w:lang w:val="en-US"/>
              </w:rPr>
              <w:t>One day per week - Wednesday</w:t>
            </w:r>
          </w:p>
        </w:tc>
        <w:tc>
          <w:tcPr>
            <w:tcW w:w="3401" w:type="dxa"/>
            <w:vMerge w:val="restart"/>
            <w:tcBorders>
              <w:top w:val="double" w:sz="4" w:space="0" w:color="000000"/>
              <w:left w:val="double" w:sz="4" w:space="0" w:color="000000"/>
              <w:right w:val="double" w:sz="4" w:space="0" w:color="000000"/>
            </w:tcBorders>
            <w:shd w:val="clear" w:color="auto" w:fill="FFFFFF"/>
            <w:tcMar>
              <w:top w:w="0" w:type="dxa"/>
              <w:left w:w="108" w:type="dxa"/>
              <w:bottom w:w="0" w:type="dxa"/>
              <w:right w:w="108" w:type="dxa"/>
            </w:tcMar>
          </w:tcPr>
          <w:p w14:paraId="46D31267" w14:textId="77777777" w:rsidR="00CB36B2" w:rsidRPr="00796AA0" w:rsidRDefault="00CB36B2" w:rsidP="00CB36B2">
            <w:pPr>
              <w:jc w:val="center"/>
              <w:rPr>
                <w:rFonts w:ascii="Arial" w:hAnsi="Arial" w:cs="Arial"/>
                <w:sz w:val="20"/>
                <w:szCs w:val="20"/>
                <w:lang w:val="en-US"/>
              </w:rPr>
            </w:pPr>
            <w:r w:rsidRPr="00796AA0">
              <w:rPr>
                <w:rFonts w:ascii="Arial" w:hAnsi="Arial" w:cs="Arial"/>
                <w:sz w:val="20"/>
                <w:szCs w:val="20"/>
                <w:lang w:val="en-US"/>
              </w:rPr>
              <w:t>Extra days to support FS2 in the autumn term -</w:t>
            </w:r>
          </w:p>
          <w:p w14:paraId="02A13A66" w14:textId="7705E769" w:rsidR="00CB36B2" w:rsidRPr="00796AA0" w:rsidRDefault="00CB36B2" w:rsidP="00CB36B2">
            <w:pPr>
              <w:jc w:val="center"/>
              <w:rPr>
                <w:rFonts w:ascii="Arial" w:hAnsi="Arial" w:cs="Arial"/>
                <w:sz w:val="20"/>
                <w:szCs w:val="20"/>
                <w:lang w:val="en-US"/>
              </w:rPr>
            </w:pPr>
            <w:r w:rsidRPr="00796AA0">
              <w:rPr>
                <w:rFonts w:ascii="Arial" w:hAnsi="Arial" w:cs="Arial"/>
                <w:sz w:val="20"/>
                <w:szCs w:val="20"/>
                <w:lang w:val="en-US"/>
              </w:rPr>
              <w:t>£1,000</w:t>
            </w:r>
          </w:p>
          <w:p w14:paraId="7E4A02D7" w14:textId="1D5D06EF" w:rsidR="00CB36B2" w:rsidRPr="00796AA0" w:rsidRDefault="00CB36B2" w:rsidP="00CB36B2">
            <w:pPr>
              <w:jc w:val="center"/>
              <w:rPr>
                <w:rFonts w:ascii="Arial" w:hAnsi="Arial" w:cs="Arial"/>
                <w:color w:val="FF0000"/>
                <w:sz w:val="20"/>
                <w:szCs w:val="20"/>
                <w:lang w:val="en-US"/>
              </w:rPr>
            </w:pPr>
            <w:r w:rsidRPr="00796AA0">
              <w:rPr>
                <w:rFonts w:ascii="Arial" w:hAnsi="Arial" w:cs="Arial"/>
                <w:color w:val="FF0000"/>
                <w:sz w:val="20"/>
                <w:szCs w:val="20"/>
                <w:lang w:val="en-US"/>
              </w:rPr>
              <w:t>Costs for extra support Autumn term - £1265</w:t>
            </w:r>
          </w:p>
          <w:p w14:paraId="16E9F3FA" w14:textId="785BDD41" w:rsidR="00CB36B2" w:rsidRPr="00796AA0" w:rsidRDefault="00CB36B2" w:rsidP="00CB36B2">
            <w:pPr>
              <w:pStyle w:val="NoSpacing"/>
              <w:textAlignment w:val="auto"/>
              <w:rPr>
                <w:rFonts w:ascii="Arial" w:eastAsia="Times New Roman" w:hAnsi="Arial" w:cs="Arial"/>
                <w:b/>
                <w:sz w:val="20"/>
                <w:szCs w:val="20"/>
                <w:lang w:val="en-US" w:eastAsia="en-GB"/>
              </w:rPr>
            </w:pPr>
            <w:r w:rsidRPr="00796AA0">
              <w:rPr>
                <w:rFonts w:ascii="Arial" w:hAnsi="Arial" w:cs="Arial"/>
                <w:color w:val="00B050"/>
                <w:sz w:val="20"/>
                <w:szCs w:val="20"/>
                <w:lang w:val="en-US"/>
              </w:rPr>
              <w:t>Over spend of £265</w:t>
            </w:r>
          </w:p>
        </w:tc>
      </w:tr>
      <w:tr w:rsidR="00CB36B2" w:rsidRPr="00800692" w14:paraId="1B2F59DB" w14:textId="77777777" w:rsidTr="0010683E">
        <w:trPr>
          <w:trHeight w:val="1260"/>
          <w:jc w:val="center"/>
        </w:trPr>
        <w:tc>
          <w:tcPr>
            <w:tcW w:w="3238" w:type="dxa"/>
            <w:vMerge/>
            <w:tcBorders>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38ABB36B" w14:textId="77777777" w:rsidR="00CB36B2" w:rsidRDefault="00CB36B2" w:rsidP="00533472">
            <w:pPr>
              <w:pStyle w:val="NoSpacing"/>
              <w:textAlignment w:val="auto"/>
              <w:rPr>
                <w:rFonts w:ascii="Arial" w:hAnsi="Arial" w:cs="Arial"/>
                <w:b/>
                <w:sz w:val="24"/>
                <w:szCs w:val="24"/>
              </w:rPr>
            </w:pP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0D981D12" w14:textId="77777777" w:rsidR="00CB36B2" w:rsidRPr="00796AA0" w:rsidRDefault="00CB36B2" w:rsidP="00924D00">
            <w:pPr>
              <w:pStyle w:val="ListParagraph"/>
              <w:numPr>
                <w:ilvl w:val="0"/>
                <w:numId w:val="6"/>
              </w:numPr>
              <w:spacing w:before="100" w:after="100"/>
              <w:rPr>
                <w:rFonts w:ascii="Arial" w:eastAsia="Calibri" w:hAnsi="Arial" w:cs="Arial"/>
                <w:sz w:val="20"/>
                <w:szCs w:val="20"/>
              </w:rPr>
            </w:pPr>
            <w:r w:rsidRPr="00796AA0">
              <w:rPr>
                <w:rFonts w:ascii="Arial" w:eastAsia="Calibri" w:hAnsi="Arial" w:cs="Arial"/>
                <w:sz w:val="20"/>
                <w:szCs w:val="20"/>
              </w:rPr>
              <w:t>Establish a strong culture of character development – teach children to be respectful, not afraid to take risks in their learning and to be resilient. Use reflection areas and RE and PSHE as a catalyst for exploring personal development</w:t>
            </w:r>
            <w:r w:rsidRPr="00796AA0">
              <w:rPr>
                <w:rFonts w:ascii="Arial" w:hAnsi="Arial" w:cs="Arial"/>
                <w:sz w:val="20"/>
                <w:szCs w:val="20"/>
              </w:rPr>
              <w:t>.</w:t>
            </w:r>
          </w:p>
          <w:p w14:paraId="2E0EDED9" w14:textId="77777777" w:rsidR="00CB36B2" w:rsidRPr="00796AA0" w:rsidRDefault="00CB36B2" w:rsidP="00CB36B2">
            <w:pPr>
              <w:spacing w:before="100" w:after="100"/>
              <w:rPr>
                <w:rFonts w:ascii="Arial" w:eastAsia="Calibri" w:hAnsi="Arial" w:cs="Arial"/>
                <w:sz w:val="20"/>
                <w:szCs w:val="20"/>
              </w:rPr>
            </w:pPr>
          </w:p>
        </w:tc>
        <w:tc>
          <w:tcPr>
            <w:tcW w:w="1417" w:type="dxa"/>
            <w:vMerge/>
            <w:tcBorders>
              <w:left w:val="double" w:sz="4" w:space="0" w:color="000000"/>
              <w:bottom w:val="double" w:sz="4" w:space="0" w:color="000000"/>
              <w:right w:val="double" w:sz="4" w:space="0" w:color="auto"/>
            </w:tcBorders>
            <w:shd w:val="clear" w:color="auto" w:fill="FFFFFF"/>
            <w:tcMar>
              <w:top w:w="0" w:type="dxa"/>
              <w:left w:w="108" w:type="dxa"/>
              <w:bottom w:w="0" w:type="dxa"/>
              <w:right w:w="108" w:type="dxa"/>
            </w:tcMar>
          </w:tcPr>
          <w:p w14:paraId="0B87EF8B" w14:textId="77777777" w:rsidR="00CB36B2" w:rsidRPr="00796AA0" w:rsidRDefault="00CB36B2" w:rsidP="00CB36B2">
            <w:pPr>
              <w:spacing w:before="100" w:after="100"/>
              <w:rPr>
                <w:rFonts w:ascii="Arial" w:hAnsi="Arial" w:cs="Arial"/>
                <w:sz w:val="20"/>
                <w:szCs w:val="20"/>
                <w:lang w:val="en-US"/>
              </w:rPr>
            </w:pPr>
          </w:p>
        </w:tc>
        <w:tc>
          <w:tcPr>
            <w:tcW w:w="1622" w:type="dxa"/>
            <w:vMerge/>
            <w:tcBorders>
              <w:left w:val="double" w:sz="4" w:space="0" w:color="auto"/>
              <w:bottom w:val="double" w:sz="4" w:space="0" w:color="000000"/>
              <w:right w:val="double" w:sz="4" w:space="0" w:color="000000"/>
            </w:tcBorders>
            <w:shd w:val="clear" w:color="auto" w:fill="FFFFFF"/>
            <w:tcMar>
              <w:top w:w="0" w:type="dxa"/>
              <w:left w:w="108" w:type="dxa"/>
              <w:bottom w:w="0" w:type="dxa"/>
              <w:right w:w="108" w:type="dxa"/>
            </w:tcMar>
          </w:tcPr>
          <w:p w14:paraId="78FD709F" w14:textId="77777777" w:rsidR="00CB36B2" w:rsidRPr="00796AA0" w:rsidRDefault="00CB36B2" w:rsidP="00033EF9">
            <w:pPr>
              <w:spacing w:before="100" w:after="100"/>
              <w:jc w:val="center"/>
              <w:rPr>
                <w:rFonts w:ascii="Arial" w:hAnsi="Arial" w:cs="Arial"/>
                <w:sz w:val="20"/>
                <w:szCs w:val="20"/>
                <w:lang w:val="en-US"/>
              </w:rPr>
            </w:pPr>
          </w:p>
        </w:tc>
        <w:tc>
          <w:tcPr>
            <w:tcW w:w="3401" w:type="dxa"/>
            <w:vMerge/>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2DD68EC1" w14:textId="77777777" w:rsidR="00CB36B2" w:rsidRPr="00796AA0" w:rsidRDefault="00CB36B2" w:rsidP="00CB36B2">
            <w:pPr>
              <w:jc w:val="center"/>
              <w:rPr>
                <w:rFonts w:ascii="Arial" w:hAnsi="Arial" w:cs="Arial"/>
                <w:sz w:val="20"/>
                <w:szCs w:val="20"/>
                <w:lang w:val="en-US"/>
              </w:rPr>
            </w:pPr>
          </w:p>
        </w:tc>
      </w:tr>
      <w:tr w:rsidR="00A07798" w:rsidRPr="00800692" w14:paraId="176AB45E" w14:textId="77777777" w:rsidTr="00CB36B2">
        <w:trPr>
          <w:trHeight w:val="3133"/>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71B58181" w14:textId="77777777" w:rsidR="00A07798" w:rsidRPr="00800692" w:rsidRDefault="00A07798" w:rsidP="00DC2DAD">
            <w:pPr>
              <w:spacing w:before="100" w:after="100"/>
              <w:jc w:val="both"/>
              <w:rPr>
                <w:rFonts w:ascii="Arial" w:hAnsi="Arial" w:cs="Arial"/>
                <w:b/>
                <w:sz w:val="24"/>
                <w:szCs w:val="24"/>
                <w:lang w:val="en-US"/>
              </w:rPr>
            </w:pPr>
            <w:r w:rsidRPr="00060362">
              <w:rPr>
                <w:rFonts w:ascii="Arial" w:hAnsi="Arial" w:cs="Arial"/>
                <w:b/>
                <w:sz w:val="24"/>
                <w:szCs w:val="24"/>
              </w:rPr>
              <w:lastRenderedPageBreak/>
              <w:t>Maths</w:t>
            </w:r>
            <w:r>
              <w:rPr>
                <w:rFonts w:ascii="Arial" w:hAnsi="Arial" w:cs="Arial"/>
                <w:b/>
                <w:sz w:val="24"/>
                <w:szCs w:val="24"/>
              </w:rPr>
              <w:t xml:space="preserve"> and Reading</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5B3618E3" w14:textId="77777777" w:rsidR="00A07798" w:rsidRPr="00796AA0" w:rsidRDefault="00A07798" w:rsidP="00924D00">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 xml:space="preserve">Y5 and Y6 targeted additional support – before and after school sessions to catch up on missed learning, address misconceptions and strengthen knowledge and understanding of core mathematical concepts. The sessions will focus on the four operations and the application of these to reasoning and </w:t>
            </w:r>
            <w:proofErr w:type="gramStart"/>
            <w:r w:rsidRPr="00796AA0">
              <w:rPr>
                <w:rFonts w:ascii="Arial" w:hAnsi="Arial" w:cs="Arial"/>
                <w:sz w:val="20"/>
                <w:szCs w:val="20"/>
                <w:lang w:val="en-US"/>
              </w:rPr>
              <w:t>problem solving</w:t>
            </w:r>
            <w:proofErr w:type="gramEnd"/>
            <w:r w:rsidRPr="00796AA0">
              <w:rPr>
                <w:rFonts w:ascii="Arial" w:hAnsi="Arial" w:cs="Arial"/>
                <w:sz w:val="20"/>
                <w:szCs w:val="20"/>
                <w:lang w:val="en-US"/>
              </w:rPr>
              <w:t xml:space="preserve"> type questions.</w:t>
            </w:r>
          </w:p>
        </w:tc>
        <w:tc>
          <w:tcPr>
            <w:tcW w:w="1417" w:type="dxa"/>
            <w:tcBorders>
              <w:top w:val="double" w:sz="4" w:space="0" w:color="000000"/>
              <w:left w:val="double" w:sz="4" w:space="0" w:color="000000"/>
              <w:right w:val="double" w:sz="4" w:space="0" w:color="auto"/>
            </w:tcBorders>
            <w:shd w:val="clear" w:color="auto" w:fill="FFFFFF"/>
            <w:tcMar>
              <w:top w:w="0" w:type="dxa"/>
              <w:left w:w="108" w:type="dxa"/>
              <w:bottom w:w="0" w:type="dxa"/>
              <w:right w:w="108" w:type="dxa"/>
            </w:tcMar>
          </w:tcPr>
          <w:p w14:paraId="4565B360" w14:textId="77777777" w:rsidR="00A07798" w:rsidRPr="00796AA0" w:rsidRDefault="00A07798" w:rsidP="00DC2DAD">
            <w:pPr>
              <w:jc w:val="both"/>
              <w:rPr>
                <w:rFonts w:ascii="Arial" w:hAnsi="Arial" w:cs="Arial"/>
                <w:sz w:val="20"/>
                <w:szCs w:val="20"/>
                <w:lang w:val="en-US"/>
              </w:rPr>
            </w:pPr>
            <w:r w:rsidRPr="00796AA0">
              <w:rPr>
                <w:rFonts w:ascii="Arial" w:hAnsi="Arial" w:cs="Arial"/>
                <w:sz w:val="20"/>
                <w:szCs w:val="20"/>
                <w:lang w:val="en-US"/>
              </w:rPr>
              <w:t xml:space="preserve">We have 11 members of staff [teachers and teaching assistants] who have committed to this. </w:t>
            </w:r>
          </w:p>
          <w:p w14:paraId="699F4DD4" w14:textId="77777777" w:rsidR="00A07798" w:rsidRPr="00796AA0" w:rsidRDefault="00A07798" w:rsidP="00DC2DAD">
            <w:pPr>
              <w:jc w:val="both"/>
              <w:rPr>
                <w:rFonts w:ascii="Arial" w:hAnsi="Arial" w:cs="Arial"/>
                <w:sz w:val="20"/>
                <w:szCs w:val="20"/>
                <w:lang w:val="en-US"/>
              </w:rPr>
            </w:pPr>
          </w:p>
        </w:tc>
        <w:tc>
          <w:tcPr>
            <w:tcW w:w="1622" w:type="dxa"/>
            <w:vMerge w:val="restart"/>
            <w:tcBorders>
              <w:top w:val="double" w:sz="4" w:space="0" w:color="000000"/>
              <w:left w:val="double" w:sz="4" w:space="0" w:color="auto"/>
              <w:right w:val="double" w:sz="4" w:space="0" w:color="000000"/>
            </w:tcBorders>
            <w:shd w:val="clear" w:color="auto" w:fill="FFFFFF"/>
            <w:tcMar>
              <w:top w:w="0" w:type="dxa"/>
              <w:left w:w="108" w:type="dxa"/>
              <w:bottom w:w="0" w:type="dxa"/>
              <w:right w:w="108" w:type="dxa"/>
            </w:tcMar>
          </w:tcPr>
          <w:p w14:paraId="1889A9CD" w14:textId="492CFCA5" w:rsidR="00A07798" w:rsidRPr="00796AA0" w:rsidRDefault="00A07798" w:rsidP="00A07798">
            <w:pPr>
              <w:rPr>
                <w:rFonts w:ascii="Arial" w:hAnsi="Arial" w:cs="Arial"/>
                <w:sz w:val="20"/>
                <w:szCs w:val="20"/>
                <w:lang w:val="en-US"/>
              </w:rPr>
            </w:pPr>
            <w:r w:rsidRPr="00796AA0">
              <w:rPr>
                <w:rFonts w:ascii="Arial" w:hAnsi="Arial" w:cs="Arial"/>
                <w:sz w:val="20"/>
                <w:szCs w:val="20"/>
                <w:lang w:val="en-US"/>
              </w:rPr>
              <w:t xml:space="preserve">Catch-up – before or after school sessions – one adult to two/three children. Arranging this in half termly blocks. The first block will run from November to December and will last 6 weeks. The first block of booster sessions will focus on reading as this is the most significant gap for Y6 </w:t>
            </w:r>
          </w:p>
          <w:p w14:paraId="7443D18C" w14:textId="77777777" w:rsidR="00A07798" w:rsidRPr="00796AA0" w:rsidRDefault="00A07798" w:rsidP="00A07798">
            <w:pPr>
              <w:spacing w:before="100" w:after="100"/>
              <w:rPr>
                <w:rFonts w:ascii="Arial" w:hAnsi="Arial" w:cs="Arial"/>
                <w:sz w:val="20"/>
                <w:szCs w:val="20"/>
                <w:lang w:val="en-US"/>
              </w:rPr>
            </w:pPr>
          </w:p>
        </w:tc>
        <w:tc>
          <w:tcPr>
            <w:tcW w:w="3401" w:type="dxa"/>
            <w:tcBorders>
              <w:top w:val="double" w:sz="4" w:space="0" w:color="000000"/>
              <w:left w:val="double" w:sz="4" w:space="0" w:color="000000"/>
              <w:right w:val="double" w:sz="4" w:space="0" w:color="000000"/>
            </w:tcBorders>
            <w:shd w:val="clear" w:color="auto" w:fill="FFFFFF"/>
            <w:tcMar>
              <w:top w:w="0" w:type="dxa"/>
              <w:left w:w="108" w:type="dxa"/>
              <w:bottom w:w="0" w:type="dxa"/>
              <w:right w:w="108" w:type="dxa"/>
            </w:tcMar>
          </w:tcPr>
          <w:p w14:paraId="4D6F69B6" w14:textId="77777777" w:rsidR="00A07798" w:rsidRPr="00796AA0" w:rsidRDefault="00A07798" w:rsidP="00A07798">
            <w:pPr>
              <w:pStyle w:val="paragraph"/>
              <w:spacing w:before="0" w:beforeAutospacing="0" w:after="0" w:afterAutospacing="0"/>
              <w:textAlignment w:val="baseline"/>
              <w:rPr>
                <w:rFonts w:ascii="Arial" w:hAnsi="Arial" w:cs="Arial"/>
                <w:sz w:val="20"/>
                <w:szCs w:val="20"/>
              </w:rPr>
            </w:pPr>
            <w:r w:rsidRPr="00796AA0">
              <w:rPr>
                <w:rStyle w:val="normaltextrun"/>
                <w:rFonts w:ascii="Arial" w:hAnsi="Arial" w:cs="Arial"/>
                <w:sz w:val="20"/>
                <w:szCs w:val="20"/>
                <w:lang w:val="en-US"/>
              </w:rPr>
              <w:t>The approximate cost for a six-week block will be - £1,140</w:t>
            </w:r>
            <w:r w:rsidRPr="00796AA0">
              <w:rPr>
                <w:rStyle w:val="eop"/>
                <w:rFonts w:ascii="Arial" w:hAnsi="Arial" w:cs="Arial"/>
                <w:sz w:val="20"/>
                <w:szCs w:val="20"/>
              </w:rPr>
              <w:t> </w:t>
            </w:r>
          </w:p>
          <w:p w14:paraId="463738D1" w14:textId="77777777" w:rsidR="00A07798" w:rsidRPr="00796AA0" w:rsidRDefault="00A07798" w:rsidP="00A07798">
            <w:pPr>
              <w:pStyle w:val="paragraph"/>
              <w:spacing w:before="0" w:beforeAutospacing="0" w:after="0" w:afterAutospacing="0"/>
              <w:textAlignment w:val="baseline"/>
              <w:rPr>
                <w:rFonts w:ascii="Arial" w:hAnsi="Arial" w:cs="Arial"/>
                <w:sz w:val="20"/>
                <w:szCs w:val="20"/>
              </w:rPr>
            </w:pPr>
            <w:r w:rsidRPr="00796AA0">
              <w:rPr>
                <w:rStyle w:val="eop"/>
                <w:rFonts w:ascii="Arial" w:hAnsi="Arial" w:cs="Arial"/>
                <w:sz w:val="20"/>
                <w:szCs w:val="20"/>
              </w:rPr>
              <w:t> </w:t>
            </w:r>
          </w:p>
          <w:p w14:paraId="08E2138C" w14:textId="77777777" w:rsidR="00A07798" w:rsidRPr="00796AA0" w:rsidRDefault="00A07798" w:rsidP="00A07798">
            <w:pPr>
              <w:pStyle w:val="paragraph"/>
              <w:spacing w:before="0" w:beforeAutospacing="0" w:after="0" w:afterAutospacing="0"/>
              <w:textAlignment w:val="baseline"/>
              <w:rPr>
                <w:rFonts w:ascii="Arial" w:hAnsi="Arial" w:cs="Arial"/>
                <w:sz w:val="20"/>
                <w:szCs w:val="20"/>
              </w:rPr>
            </w:pPr>
            <w:r w:rsidRPr="00796AA0">
              <w:rPr>
                <w:rStyle w:val="normaltextrun"/>
                <w:rFonts w:ascii="Arial" w:hAnsi="Arial" w:cs="Arial"/>
                <w:sz w:val="20"/>
                <w:szCs w:val="20"/>
                <w:lang w:val="en-US"/>
              </w:rPr>
              <w:t xml:space="preserve">If we carry out 5 blocks of 6 weeks through the school year this will </w:t>
            </w:r>
            <w:r w:rsidRPr="00796AA0">
              <w:rPr>
                <w:rStyle w:val="normaltextrun"/>
                <w:rFonts w:ascii="Arial" w:hAnsi="Arial" w:cs="Arial"/>
                <w:b/>
                <w:bCs/>
                <w:sz w:val="20"/>
                <w:szCs w:val="20"/>
                <w:lang w:val="en-US"/>
              </w:rPr>
              <w:t>=£5,700</w:t>
            </w:r>
            <w:r w:rsidRPr="00796AA0">
              <w:rPr>
                <w:rStyle w:val="normaltextrun"/>
                <w:rFonts w:ascii="Arial" w:hAnsi="Arial" w:cs="Arial"/>
                <w:sz w:val="20"/>
                <w:szCs w:val="20"/>
                <w:lang w:val="en-US"/>
              </w:rPr>
              <w:t> </w:t>
            </w:r>
            <w:r w:rsidRPr="00796AA0">
              <w:rPr>
                <w:rStyle w:val="eop"/>
                <w:rFonts w:ascii="Arial" w:hAnsi="Arial" w:cs="Arial"/>
                <w:sz w:val="20"/>
                <w:szCs w:val="20"/>
              </w:rPr>
              <w:t> </w:t>
            </w:r>
          </w:p>
          <w:p w14:paraId="1EC53B8A" w14:textId="55285F6F" w:rsidR="00A07798" w:rsidRPr="00796AA0" w:rsidRDefault="00A07798" w:rsidP="00A07798">
            <w:pPr>
              <w:pStyle w:val="paragraph"/>
              <w:spacing w:before="0" w:beforeAutospacing="0" w:after="0" w:afterAutospacing="0"/>
              <w:textAlignment w:val="baseline"/>
              <w:rPr>
                <w:rFonts w:ascii="Arial" w:hAnsi="Arial" w:cs="Arial"/>
                <w:sz w:val="20"/>
                <w:szCs w:val="20"/>
              </w:rPr>
            </w:pPr>
            <w:r w:rsidRPr="00796AA0">
              <w:rPr>
                <w:rStyle w:val="normaltextrun"/>
                <w:rFonts w:ascii="Arial" w:hAnsi="Arial" w:cs="Arial"/>
                <w:color w:val="FF0000"/>
                <w:sz w:val="20"/>
                <w:szCs w:val="20"/>
                <w:lang w:val="en-US"/>
              </w:rPr>
              <w:t>Update March 2021- spent = £908.43</w:t>
            </w:r>
            <w:r w:rsidRPr="00796AA0">
              <w:rPr>
                <w:rStyle w:val="eop"/>
                <w:rFonts w:ascii="Arial" w:hAnsi="Arial" w:cs="Arial"/>
                <w:color w:val="FF0000"/>
                <w:sz w:val="20"/>
                <w:szCs w:val="20"/>
              </w:rPr>
              <w:t> </w:t>
            </w:r>
          </w:p>
          <w:p w14:paraId="0F89E3F1" w14:textId="77777777" w:rsidR="00A07798" w:rsidRPr="00796AA0" w:rsidRDefault="00A07798" w:rsidP="00A07798">
            <w:pPr>
              <w:pStyle w:val="paragraph"/>
              <w:spacing w:before="0" w:beforeAutospacing="0" w:after="0" w:afterAutospacing="0"/>
              <w:textAlignment w:val="baseline"/>
              <w:rPr>
                <w:rFonts w:ascii="Arial" w:hAnsi="Arial" w:cs="Arial"/>
                <w:sz w:val="20"/>
                <w:szCs w:val="20"/>
              </w:rPr>
            </w:pPr>
            <w:r w:rsidRPr="00796AA0">
              <w:rPr>
                <w:rStyle w:val="eop"/>
                <w:rFonts w:ascii="Arial" w:hAnsi="Arial" w:cs="Arial"/>
                <w:color w:val="FF0000"/>
                <w:sz w:val="20"/>
                <w:szCs w:val="20"/>
              </w:rPr>
              <w:t> </w:t>
            </w:r>
          </w:p>
          <w:p w14:paraId="37FA60FA" w14:textId="77777777" w:rsidR="00A07798" w:rsidRPr="00796AA0" w:rsidRDefault="00A07798" w:rsidP="00A07798">
            <w:pPr>
              <w:pStyle w:val="paragraph"/>
              <w:spacing w:before="0" w:beforeAutospacing="0" w:after="0" w:afterAutospacing="0"/>
              <w:textAlignment w:val="baseline"/>
              <w:rPr>
                <w:rFonts w:ascii="Arial" w:hAnsi="Arial" w:cs="Arial"/>
                <w:sz w:val="20"/>
                <w:szCs w:val="20"/>
              </w:rPr>
            </w:pPr>
            <w:r w:rsidRPr="00796AA0">
              <w:rPr>
                <w:rStyle w:val="normaltextrun"/>
                <w:rFonts w:ascii="Arial" w:hAnsi="Arial" w:cs="Arial"/>
                <w:color w:val="0070C0"/>
                <w:sz w:val="20"/>
                <w:szCs w:val="20"/>
                <w:lang w:val="en-US"/>
              </w:rPr>
              <w:t>Still to spend - £4,791.57</w:t>
            </w:r>
          </w:p>
          <w:p w14:paraId="1B673B27" w14:textId="77777777" w:rsidR="00A07798" w:rsidRPr="00796AA0" w:rsidRDefault="00A07798" w:rsidP="00A07798">
            <w:pPr>
              <w:pStyle w:val="NoSpacing"/>
              <w:textAlignment w:val="auto"/>
              <w:rPr>
                <w:rFonts w:ascii="Arial" w:eastAsia="Times New Roman" w:hAnsi="Arial" w:cs="Arial"/>
                <w:b/>
                <w:sz w:val="20"/>
                <w:szCs w:val="20"/>
                <w:lang w:val="en-US" w:eastAsia="en-GB"/>
              </w:rPr>
            </w:pPr>
          </w:p>
          <w:p w14:paraId="625502F5" w14:textId="77777777" w:rsidR="00A07798" w:rsidRPr="00796AA0" w:rsidRDefault="00A07798" w:rsidP="00A07798">
            <w:pPr>
              <w:pStyle w:val="NoSpacing"/>
              <w:textAlignment w:val="auto"/>
              <w:rPr>
                <w:rFonts w:ascii="Arial" w:eastAsia="Times New Roman" w:hAnsi="Arial" w:cs="Arial"/>
                <w:b/>
                <w:sz w:val="20"/>
                <w:szCs w:val="20"/>
                <w:lang w:val="en-US" w:eastAsia="en-GB"/>
              </w:rPr>
            </w:pPr>
          </w:p>
          <w:p w14:paraId="725F6F41" w14:textId="77777777" w:rsidR="00A07798" w:rsidRPr="00796AA0" w:rsidRDefault="00A07798" w:rsidP="00A07798">
            <w:pPr>
              <w:pStyle w:val="NoSpacing"/>
              <w:textAlignment w:val="auto"/>
              <w:rPr>
                <w:rFonts w:ascii="Arial" w:eastAsia="Times New Roman" w:hAnsi="Arial" w:cs="Arial"/>
                <w:b/>
                <w:sz w:val="20"/>
                <w:szCs w:val="20"/>
                <w:lang w:val="en-US" w:eastAsia="en-GB"/>
              </w:rPr>
            </w:pPr>
          </w:p>
          <w:p w14:paraId="523C134A" w14:textId="77777777" w:rsidR="00A07798" w:rsidRPr="00796AA0" w:rsidRDefault="00A07798" w:rsidP="00A07798">
            <w:pPr>
              <w:pStyle w:val="NoSpacing"/>
              <w:textAlignment w:val="auto"/>
              <w:rPr>
                <w:rFonts w:ascii="Arial" w:eastAsia="Times New Roman" w:hAnsi="Arial" w:cs="Arial"/>
                <w:b/>
                <w:sz w:val="20"/>
                <w:szCs w:val="20"/>
                <w:lang w:val="en-US" w:eastAsia="en-GB"/>
              </w:rPr>
            </w:pPr>
          </w:p>
          <w:p w14:paraId="65BCCF54" w14:textId="77777777" w:rsidR="00A07798" w:rsidRPr="00796AA0" w:rsidRDefault="00A07798" w:rsidP="00A07798">
            <w:pPr>
              <w:spacing w:after="0" w:line="240" w:lineRule="auto"/>
              <w:rPr>
                <w:rFonts w:ascii="Arial" w:eastAsia="Times New Roman" w:hAnsi="Arial" w:cs="Arial"/>
                <w:b/>
                <w:sz w:val="20"/>
                <w:szCs w:val="20"/>
                <w:lang w:eastAsia="en-GB"/>
              </w:rPr>
            </w:pPr>
          </w:p>
        </w:tc>
      </w:tr>
      <w:tr w:rsidR="00A07798" w:rsidRPr="00800692" w14:paraId="4ED3FB70" w14:textId="77777777" w:rsidTr="00A03D20">
        <w:trPr>
          <w:trHeight w:val="784"/>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031A0BBB" w14:textId="68327F15" w:rsidR="00A07798" w:rsidRPr="00060362" w:rsidRDefault="00A07798" w:rsidP="00A95A16">
            <w:pPr>
              <w:spacing w:before="100" w:after="100"/>
              <w:rPr>
                <w:rFonts w:ascii="Arial" w:hAnsi="Arial" w:cs="Arial"/>
                <w:b/>
                <w:sz w:val="24"/>
                <w:szCs w:val="24"/>
              </w:rPr>
            </w:pPr>
            <w:r>
              <w:rPr>
                <w:rFonts w:ascii="Arial" w:hAnsi="Arial" w:cs="Arial"/>
                <w:b/>
                <w:sz w:val="24"/>
                <w:szCs w:val="24"/>
              </w:rPr>
              <w:t>Maths and English</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3B43286B" w14:textId="5F222078" w:rsidR="00A07798" w:rsidRPr="00796AA0" w:rsidRDefault="00A07798" w:rsidP="00022FC4">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 xml:space="preserve">Specific group support in Y6 for </w:t>
            </w:r>
            <w:proofErr w:type="spellStart"/>
            <w:r w:rsidRPr="00796AA0">
              <w:rPr>
                <w:rFonts w:ascii="Arial" w:hAnsi="Arial" w:cs="Arial"/>
                <w:sz w:val="20"/>
                <w:szCs w:val="20"/>
                <w:lang w:val="en-US"/>
              </w:rPr>
              <w:t>maths</w:t>
            </w:r>
            <w:proofErr w:type="spellEnd"/>
            <w:r w:rsidRPr="00796AA0">
              <w:rPr>
                <w:rFonts w:ascii="Arial" w:hAnsi="Arial" w:cs="Arial"/>
                <w:sz w:val="20"/>
                <w:szCs w:val="20"/>
                <w:lang w:val="en-US"/>
              </w:rPr>
              <w:t xml:space="preserve"> and </w:t>
            </w:r>
            <w:proofErr w:type="spellStart"/>
            <w:r w:rsidRPr="00796AA0">
              <w:rPr>
                <w:rFonts w:ascii="Arial" w:hAnsi="Arial" w:cs="Arial"/>
                <w:sz w:val="20"/>
                <w:szCs w:val="20"/>
                <w:lang w:val="en-US"/>
              </w:rPr>
              <w:t>english</w:t>
            </w:r>
            <w:proofErr w:type="spellEnd"/>
            <w:r w:rsidRPr="00796AA0">
              <w:rPr>
                <w:rFonts w:ascii="Arial" w:hAnsi="Arial" w:cs="Arial"/>
                <w:sz w:val="20"/>
                <w:szCs w:val="20"/>
                <w:lang w:val="en-US"/>
              </w:rPr>
              <w:t xml:space="preserve"> during the school day </w:t>
            </w:r>
          </w:p>
          <w:p w14:paraId="1A7263AB" w14:textId="0E97D4A9" w:rsidR="00A07798" w:rsidRPr="00796AA0" w:rsidRDefault="00A07798" w:rsidP="00022FC4">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 xml:space="preserve">These groups will be identified by the class teacher and will target reading and </w:t>
            </w:r>
            <w:proofErr w:type="spellStart"/>
            <w:r w:rsidRPr="00796AA0">
              <w:rPr>
                <w:rFonts w:ascii="Arial" w:hAnsi="Arial" w:cs="Arial"/>
                <w:sz w:val="20"/>
                <w:szCs w:val="20"/>
                <w:lang w:val="en-US"/>
              </w:rPr>
              <w:t>maths</w:t>
            </w:r>
            <w:proofErr w:type="spellEnd"/>
            <w:r w:rsidRPr="00796AA0">
              <w:rPr>
                <w:rFonts w:ascii="Arial" w:hAnsi="Arial" w:cs="Arial"/>
                <w:sz w:val="20"/>
                <w:szCs w:val="20"/>
                <w:lang w:val="en-US"/>
              </w:rPr>
              <w:t xml:space="preserve">. We will change the music room into a teaching area after half term. A very skilled HLTA will support this. </w:t>
            </w:r>
          </w:p>
          <w:p w14:paraId="316665F2" w14:textId="082B8053" w:rsidR="00A07798" w:rsidRPr="00796AA0" w:rsidRDefault="00A07798" w:rsidP="00022FC4">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 xml:space="preserve">The support will span all abilities so that all children have the best chance to meet their full potential. </w:t>
            </w:r>
          </w:p>
          <w:p w14:paraId="1940B8F0" w14:textId="3A69FB1F" w:rsidR="00A07798" w:rsidRPr="00796AA0" w:rsidRDefault="00A07798" w:rsidP="00022FC4">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The above strategies will be transferred to Y5 once Y6 have taken SATs in May 2021</w:t>
            </w:r>
          </w:p>
        </w:tc>
        <w:tc>
          <w:tcPr>
            <w:tcW w:w="1417" w:type="dxa"/>
            <w:tcBorders>
              <w:top w:val="double" w:sz="4" w:space="0" w:color="000000"/>
              <w:left w:val="double" w:sz="4" w:space="0" w:color="000000"/>
              <w:right w:val="double" w:sz="4" w:space="0" w:color="auto"/>
            </w:tcBorders>
            <w:shd w:val="clear" w:color="auto" w:fill="FFFFFF"/>
            <w:tcMar>
              <w:top w:w="0" w:type="dxa"/>
              <w:left w:w="108" w:type="dxa"/>
              <w:bottom w:w="0" w:type="dxa"/>
              <w:right w:w="108" w:type="dxa"/>
            </w:tcMar>
          </w:tcPr>
          <w:p w14:paraId="6DCD0644" w14:textId="3D719AEE" w:rsidR="00A07798" w:rsidRPr="00DC2DAD" w:rsidRDefault="00A07798" w:rsidP="004A7AD7">
            <w:pPr>
              <w:rPr>
                <w:rFonts w:ascii="Arial" w:eastAsia="Times New Roman" w:hAnsi="Arial" w:cs="Arial"/>
                <w:sz w:val="20"/>
                <w:szCs w:val="20"/>
                <w:lang w:val="en-US"/>
              </w:rPr>
            </w:pPr>
            <w:r w:rsidRPr="00796AA0">
              <w:rPr>
                <w:rFonts w:ascii="Arial" w:eastAsia="Times New Roman" w:hAnsi="Arial" w:cs="Arial"/>
                <w:sz w:val="20"/>
                <w:szCs w:val="20"/>
                <w:lang w:val="en-US"/>
              </w:rPr>
              <w:t xml:space="preserve">KS2 </w:t>
            </w:r>
            <w:r w:rsidRPr="00DC2DAD">
              <w:rPr>
                <w:rFonts w:ascii="Arial" w:eastAsia="Times New Roman" w:hAnsi="Arial" w:cs="Arial"/>
                <w:sz w:val="20"/>
                <w:szCs w:val="20"/>
                <w:lang w:val="en-US"/>
              </w:rPr>
              <w:t>HLTA</w:t>
            </w:r>
            <w:r w:rsidRPr="00796AA0">
              <w:rPr>
                <w:rFonts w:ascii="Arial" w:eastAsia="Times New Roman" w:hAnsi="Arial" w:cs="Arial"/>
                <w:sz w:val="20"/>
                <w:szCs w:val="20"/>
                <w:lang w:val="en-US"/>
              </w:rPr>
              <w:t xml:space="preserve"> </w:t>
            </w:r>
            <w:r w:rsidRPr="00DC2DAD">
              <w:rPr>
                <w:rFonts w:ascii="Arial" w:eastAsia="Times New Roman" w:hAnsi="Arial" w:cs="Arial"/>
                <w:sz w:val="20"/>
                <w:szCs w:val="20"/>
                <w:lang w:val="en-US"/>
              </w:rPr>
              <w:t xml:space="preserve">will be changed to full time </w:t>
            </w:r>
            <w:r w:rsidRPr="00796AA0">
              <w:rPr>
                <w:rFonts w:ascii="Arial" w:eastAsia="Times New Roman" w:hAnsi="Arial" w:cs="Arial"/>
                <w:sz w:val="20"/>
                <w:szCs w:val="20"/>
                <w:lang w:val="en-US"/>
              </w:rPr>
              <w:t xml:space="preserve">to </w:t>
            </w:r>
            <w:r w:rsidRPr="00DC2DAD">
              <w:rPr>
                <w:rFonts w:ascii="Arial" w:eastAsia="Times New Roman" w:hAnsi="Arial" w:cs="Arial"/>
                <w:sz w:val="20"/>
                <w:szCs w:val="20"/>
                <w:lang w:val="en-US"/>
              </w:rPr>
              <w:t>support the specific group or leads the class this will be excellent use of her skills.</w:t>
            </w:r>
          </w:p>
          <w:p w14:paraId="630384E9" w14:textId="77777777" w:rsidR="00A07798" w:rsidRPr="00796AA0" w:rsidRDefault="00A07798" w:rsidP="00A95A16">
            <w:pPr>
              <w:rPr>
                <w:rFonts w:ascii="Arial" w:hAnsi="Arial" w:cs="Arial"/>
                <w:sz w:val="20"/>
                <w:szCs w:val="20"/>
                <w:lang w:val="en-US"/>
              </w:rPr>
            </w:pPr>
          </w:p>
        </w:tc>
        <w:tc>
          <w:tcPr>
            <w:tcW w:w="1622" w:type="dxa"/>
            <w:vMerge/>
            <w:tcBorders>
              <w:left w:val="double" w:sz="4" w:space="0" w:color="auto"/>
              <w:right w:val="double" w:sz="4" w:space="0" w:color="000000"/>
            </w:tcBorders>
            <w:shd w:val="clear" w:color="auto" w:fill="FFFFFF"/>
            <w:tcMar>
              <w:top w:w="0" w:type="dxa"/>
              <w:left w:w="108" w:type="dxa"/>
              <w:bottom w:w="0" w:type="dxa"/>
              <w:right w:w="108" w:type="dxa"/>
            </w:tcMar>
          </w:tcPr>
          <w:p w14:paraId="190ED88E" w14:textId="77777777" w:rsidR="00A07798" w:rsidRPr="00796AA0" w:rsidRDefault="00A07798" w:rsidP="00A07798">
            <w:pPr>
              <w:rPr>
                <w:rFonts w:ascii="Arial" w:hAnsi="Arial" w:cs="Arial"/>
                <w:sz w:val="20"/>
                <w:szCs w:val="20"/>
                <w:lang w:val="en-US"/>
              </w:rPr>
            </w:pPr>
          </w:p>
        </w:tc>
        <w:tc>
          <w:tcPr>
            <w:tcW w:w="3401" w:type="dxa"/>
            <w:tcBorders>
              <w:top w:val="double" w:sz="4" w:space="0" w:color="000000"/>
              <w:left w:val="double" w:sz="4" w:space="0" w:color="000000"/>
              <w:right w:val="double" w:sz="4" w:space="0" w:color="000000"/>
            </w:tcBorders>
            <w:shd w:val="clear" w:color="auto" w:fill="FFFFFF"/>
            <w:tcMar>
              <w:top w:w="0" w:type="dxa"/>
              <w:left w:w="108" w:type="dxa"/>
              <w:bottom w:w="0" w:type="dxa"/>
              <w:right w:w="108" w:type="dxa"/>
            </w:tcMar>
          </w:tcPr>
          <w:p w14:paraId="2DE874CB" w14:textId="1CDEB1D6" w:rsidR="00A07798" w:rsidRPr="00DC2DAD" w:rsidRDefault="00A07798" w:rsidP="00A07798">
            <w:pPr>
              <w:rPr>
                <w:rFonts w:ascii="Arial" w:eastAsia="Times New Roman" w:hAnsi="Arial" w:cs="Arial"/>
                <w:sz w:val="20"/>
                <w:szCs w:val="20"/>
                <w:lang w:val="en-US"/>
              </w:rPr>
            </w:pPr>
            <w:r w:rsidRPr="00DC2DAD">
              <w:rPr>
                <w:rFonts w:ascii="Arial" w:eastAsia="Times New Roman" w:hAnsi="Arial" w:cs="Arial"/>
                <w:sz w:val="20"/>
                <w:szCs w:val="20"/>
                <w:lang w:val="en-US"/>
              </w:rPr>
              <w:t xml:space="preserve">Cost </w:t>
            </w:r>
            <w:r w:rsidRPr="00DC2DAD">
              <w:rPr>
                <w:rFonts w:ascii="Arial" w:eastAsia="Times New Roman" w:hAnsi="Arial" w:cs="Arial"/>
                <w:b/>
                <w:sz w:val="20"/>
                <w:szCs w:val="20"/>
                <w:lang w:val="en-US"/>
              </w:rPr>
              <w:t>£2,200</w:t>
            </w:r>
            <w:r w:rsidRPr="00DC2DAD">
              <w:rPr>
                <w:rFonts w:ascii="Arial" w:eastAsia="Times New Roman" w:hAnsi="Arial" w:cs="Arial"/>
                <w:sz w:val="20"/>
                <w:szCs w:val="20"/>
                <w:lang w:val="en-US"/>
              </w:rPr>
              <w:t xml:space="preserve"> </w:t>
            </w:r>
          </w:p>
          <w:p w14:paraId="6996875D" w14:textId="49D54A1D" w:rsidR="00A07798" w:rsidRPr="00796AA0" w:rsidRDefault="00A07798" w:rsidP="00A07798">
            <w:pPr>
              <w:pStyle w:val="paragraph"/>
              <w:spacing w:before="0" w:beforeAutospacing="0" w:after="0" w:afterAutospacing="0"/>
              <w:textAlignment w:val="baseline"/>
              <w:rPr>
                <w:rStyle w:val="normaltextrun"/>
                <w:rFonts w:ascii="Arial" w:hAnsi="Arial" w:cs="Arial"/>
                <w:sz w:val="20"/>
                <w:szCs w:val="20"/>
                <w:lang w:val="en-US"/>
              </w:rPr>
            </w:pPr>
            <w:r w:rsidRPr="00796AA0">
              <w:rPr>
                <w:rFonts w:ascii="Arial" w:hAnsi="Arial" w:cs="Arial"/>
                <w:color w:val="FF0000"/>
                <w:sz w:val="20"/>
                <w:szCs w:val="20"/>
                <w:lang w:val="en-US" w:eastAsia="en-US"/>
              </w:rPr>
              <w:t>March 2021 - on track to be spent</w:t>
            </w:r>
          </w:p>
        </w:tc>
      </w:tr>
      <w:tr w:rsidR="00A07798" w:rsidRPr="00800692" w14:paraId="77C29397" w14:textId="77777777" w:rsidTr="00A03D20">
        <w:trPr>
          <w:trHeight w:val="784"/>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40E17849" w14:textId="5267FAD9" w:rsidR="00A07798" w:rsidRPr="00060362" w:rsidRDefault="00A07798" w:rsidP="00A95A16">
            <w:pPr>
              <w:spacing w:before="100" w:after="100"/>
              <w:rPr>
                <w:rFonts w:ascii="Arial" w:hAnsi="Arial" w:cs="Arial"/>
                <w:b/>
                <w:sz w:val="24"/>
                <w:szCs w:val="24"/>
              </w:rPr>
            </w:pPr>
            <w:r>
              <w:rPr>
                <w:rFonts w:ascii="Arial" w:hAnsi="Arial" w:cs="Arial"/>
                <w:b/>
                <w:sz w:val="24"/>
                <w:szCs w:val="24"/>
              </w:rPr>
              <w:t>Maths and English</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24D061E9" w14:textId="6F552CBF" w:rsidR="00A07798" w:rsidRPr="00796AA0" w:rsidRDefault="00A07798" w:rsidP="00022FC4">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 xml:space="preserve">Y2 – catch up in gaps in reading, </w:t>
            </w:r>
            <w:proofErr w:type="gramStart"/>
            <w:r w:rsidRPr="00796AA0">
              <w:rPr>
                <w:rFonts w:ascii="Arial" w:hAnsi="Arial" w:cs="Arial"/>
                <w:sz w:val="20"/>
                <w:szCs w:val="20"/>
                <w:lang w:val="en-US"/>
              </w:rPr>
              <w:t>writing  and</w:t>
            </w:r>
            <w:proofErr w:type="gramEnd"/>
            <w:r w:rsidRPr="00796AA0">
              <w:rPr>
                <w:rFonts w:ascii="Arial" w:hAnsi="Arial" w:cs="Arial"/>
                <w:sz w:val="20"/>
                <w:szCs w:val="20"/>
                <w:lang w:val="en-US"/>
              </w:rPr>
              <w:t xml:space="preserve"> </w:t>
            </w:r>
            <w:proofErr w:type="spellStart"/>
            <w:r w:rsidRPr="00796AA0">
              <w:rPr>
                <w:rFonts w:ascii="Arial" w:hAnsi="Arial" w:cs="Arial"/>
                <w:sz w:val="20"/>
                <w:szCs w:val="20"/>
                <w:lang w:val="en-US"/>
              </w:rPr>
              <w:t>maths</w:t>
            </w:r>
            <w:proofErr w:type="spellEnd"/>
            <w:r w:rsidRPr="00796AA0">
              <w:rPr>
                <w:rFonts w:ascii="Arial" w:hAnsi="Arial" w:cs="Arial"/>
                <w:sz w:val="20"/>
                <w:szCs w:val="20"/>
                <w:lang w:val="en-US"/>
              </w:rPr>
              <w:t>[this is a strong cohort but we can use this catch up to make sure these children remain on track and can also be challenged to achieve higher outcomes in summer 2021]</w:t>
            </w:r>
          </w:p>
        </w:tc>
        <w:tc>
          <w:tcPr>
            <w:tcW w:w="1417" w:type="dxa"/>
            <w:tcBorders>
              <w:top w:val="double" w:sz="4" w:space="0" w:color="000000"/>
              <w:left w:val="double" w:sz="4" w:space="0" w:color="000000"/>
              <w:right w:val="double" w:sz="4" w:space="0" w:color="auto"/>
            </w:tcBorders>
            <w:shd w:val="clear" w:color="auto" w:fill="FFFFFF"/>
            <w:tcMar>
              <w:top w:w="0" w:type="dxa"/>
              <w:left w:w="108" w:type="dxa"/>
              <w:bottom w:w="0" w:type="dxa"/>
              <w:right w:w="108" w:type="dxa"/>
            </w:tcMar>
          </w:tcPr>
          <w:p w14:paraId="6948F5DE" w14:textId="296D48EE" w:rsidR="00A07798" w:rsidRPr="00796AA0" w:rsidRDefault="00A07798" w:rsidP="00A95A16">
            <w:pPr>
              <w:rPr>
                <w:rFonts w:ascii="Arial" w:hAnsi="Arial" w:cs="Arial"/>
                <w:sz w:val="20"/>
                <w:szCs w:val="20"/>
                <w:lang w:val="en-US"/>
              </w:rPr>
            </w:pPr>
            <w:r w:rsidRPr="00796AA0">
              <w:rPr>
                <w:rFonts w:ascii="Arial" w:eastAsia="Times New Roman" w:hAnsi="Arial" w:cs="Arial"/>
                <w:sz w:val="20"/>
                <w:szCs w:val="20"/>
                <w:lang w:val="en-US"/>
              </w:rPr>
              <w:t xml:space="preserve">KS1 </w:t>
            </w:r>
            <w:r w:rsidRPr="00DC2DAD">
              <w:rPr>
                <w:rFonts w:ascii="Arial" w:eastAsia="Times New Roman" w:hAnsi="Arial" w:cs="Arial"/>
                <w:sz w:val="20"/>
                <w:szCs w:val="20"/>
                <w:lang w:val="en-US"/>
              </w:rPr>
              <w:t>HLTA</w:t>
            </w:r>
            <w:r w:rsidRPr="00796AA0">
              <w:rPr>
                <w:rFonts w:ascii="Arial" w:eastAsia="Times New Roman" w:hAnsi="Arial" w:cs="Arial"/>
                <w:sz w:val="20"/>
                <w:szCs w:val="20"/>
                <w:lang w:val="en-US"/>
              </w:rPr>
              <w:t xml:space="preserve"> </w:t>
            </w:r>
            <w:r w:rsidRPr="00DC2DAD">
              <w:rPr>
                <w:rFonts w:ascii="Arial" w:eastAsia="Times New Roman" w:hAnsi="Arial" w:cs="Arial"/>
                <w:sz w:val="20"/>
                <w:szCs w:val="20"/>
                <w:lang w:val="en-US"/>
              </w:rPr>
              <w:t xml:space="preserve">will be changed to full time </w:t>
            </w:r>
            <w:r w:rsidRPr="00796AA0">
              <w:rPr>
                <w:rFonts w:ascii="Arial" w:eastAsia="Times New Roman" w:hAnsi="Arial" w:cs="Arial"/>
                <w:sz w:val="20"/>
                <w:szCs w:val="20"/>
                <w:lang w:val="en-US"/>
              </w:rPr>
              <w:t xml:space="preserve">to </w:t>
            </w:r>
            <w:r w:rsidRPr="00DC2DAD">
              <w:rPr>
                <w:rFonts w:ascii="Arial" w:eastAsia="Times New Roman" w:hAnsi="Arial" w:cs="Arial"/>
                <w:sz w:val="20"/>
                <w:szCs w:val="20"/>
                <w:lang w:val="en-US"/>
              </w:rPr>
              <w:t xml:space="preserve">support the specific group or leads the class this will be excellent </w:t>
            </w:r>
            <w:r w:rsidRPr="00DC2DAD">
              <w:rPr>
                <w:rFonts w:ascii="Arial" w:eastAsia="Times New Roman" w:hAnsi="Arial" w:cs="Arial"/>
                <w:sz w:val="20"/>
                <w:szCs w:val="20"/>
                <w:lang w:val="en-US"/>
              </w:rPr>
              <w:lastRenderedPageBreak/>
              <w:t>use of her skills</w:t>
            </w:r>
          </w:p>
        </w:tc>
        <w:tc>
          <w:tcPr>
            <w:tcW w:w="1622" w:type="dxa"/>
            <w:vMerge/>
            <w:tcBorders>
              <w:left w:val="double" w:sz="4" w:space="0" w:color="auto"/>
              <w:right w:val="double" w:sz="4" w:space="0" w:color="000000"/>
            </w:tcBorders>
            <w:shd w:val="clear" w:color="auto" w:fill="FFFFFF"/>
            <w:tcMar>
              <w:top w:w="0" w:type="dxa"/>
              <w:left w:w="108" w:type="dxa"/>
              <w:bottom w:w="0" w:type="dxa"/>
              <w:right w:w="108" w:type="dxa"/>
            </w:tcMar>
          </w:tcPr>
          <w:p w14:paraId="2F0D37C4" w14:textId="77777777" w:rsidR="00A07798" w:rsidRPr="00796AA0" w:rsidRDefault="00A07798" w:rsidP="00A07798">
            <w:pPr>
              <w:rPr>
                <w:rFonts w:ascii="Arial" w:hAnsi="Arial" w:cs="Arial"/>
                <w:sz w:val="20"/>
                <w:szCs w:val="20"/>
                <w:lang w:val="en-US"/>
              </w:rPr>
            </w:pPr>
          </w:p>
        </w:tc>
        <w:tc>
          <w:tcPr>
            <w:tcW w:w="3401" w:type="dxa"/>
            <w:tcBorders>
              <w:top w:val="double" w:sz="4" w:space="0" w:color="000000"/>
              <w:left w:val="double" w:sz="4" w:space="0" w:color="000000"/>
              <w:right w:val="double" w:sz="4" w:space="0" w:color="000000"/>
            </w:tcBorders>
            <w:shd w:val="clear" w:color="auto" w:fill="FFFFFF"/>
            <w:tcMar>
              <w:top w:w="0" w:type="dxa"/>
              <w:left w:w="108" w:type="dxa"/>
              <w:bottom w:w="0" w:type="dxa"/>
              <w:right w:w="108" w:type="dxa"/>
            </w:tcMar>
          </w:tcPr>
          <w:p w14:paraId="5D9AB7BB" w14:textId="2315F82E" w:rsidR="00A07798" w:rsidRPr="00796AA0" w:rsidRDefault="00A07798" w:rsidP="00A07798">
            <w:pPr>
              <w:rPr>
                <w:rFonts w:ascii="Arial" w:hAnsi="Arial" w:cs="Arial"/>
                <w:sz w:val="20"/>
                <w:szCs w:val="20"/>
                <w:lang w:val="en-US"/>
              </w:rPr>
            </w:pPr>
            <w:r w:rsidRPr="00796AA0">
              <w:rPr>
                <w:rFonts w:ascii="Arial" w:hAnsi="Arial" w:cs="Arial"/>
                <w:sz w:val="20"/>
                <w:szCs w:val="20"/>
                <w:lang w:val="en-US"/>
              </w:rPr>
              <w:t xml:space="preserve">Cost </w:t>
            </w:r>
            <w:r w:rsidRPr="00796AA0">
              <w:rPr>
                <w:rFonts w:ascii="Arial" w:hAnsi="Arial" w:cs="Arial"/>
                <w:b/>
                <w:sz w:val="20"/>
                <w:szCs w:val="20"/>
                <w:lang w:val="en-US"/>
              </w:rPr>
              <w:t>£2,200</w:t>
            </w:r>
            <w:r w:rsidRPr="00796AA0">
              <w:rPr>
                <w:rFonts w:ascii="Arial" w:hAnsi="Arial" w:cs="Arial"/>
                <w:sz w:val="20"/>
                <w:szCs w:val="20"/>
                <w:lang w:val="en-US"/>
              </w:rPr>
              <w:t xml:space="preserve"> </w:t>
            </w:r>
          </w:p>
          <w:p w14:paraId="13876005" w14:textId="77777777" w:rsidR="00A07798" w:rsidRPr="00796AA0" w:rsidRDefault="00A07798" w:rsidP="00A07798">
            <w:pPr>
              <w:rPr>
                <w:rFonts w:ascii="Arial" w:hAnsi="Arial" w:cs="Arial"/>
                <w:sz w:val="20"/>
                <w:szCs w:val="20"/>
                <w:lang w:val="en-US"/>
              </w:rPr>
            </w:pPr>
            <w:r w:rsidRPr="00796AA0">
              <w:rPr>
                <w:rFonts w:ascii="Arial" w:hAnsi="Arial" w:cs="Arial"/>
                <w:color w:val="FF0000"/>
                <w:sz w:val="20"/>
                <w:szCs w:val="20"/>
                <w:lang w:val="en-US"/>
              </w:rPr>
              <w:t>March 2021 - on track to be spent</w:t>
            </w:r>
          </w:p>
          <w:p w14:paraId="2921262F" w14:textId="77777777" w:rsidR="00A07798" w:rsidRPr="00796AA0" w:rsidRDefault="00A07798" w:rsidP="00A07798">
            <w:pPr>
              <w:pStyle w:val="paragraph"/>
              <w:spacing w:before="0" w:beforeAutospacing="0" w:after="0" w:afterAutospacing="0"/>
              <w:textAlignment w:val="baseline"/>
              <w:rPr>
                <w:rStyle w:val="normaltextrun"/>
                <w:rFonts w:ascii="Arial" w:hAnsi="Arial" w:cs="Arial"/>
                <w:sz w:val="20"/>
                <w:szCs w:val="20"/>
                <w:lang w:val="en-US"/>
              </w:rPr>
            </w:pPr>
          </w:p>
        </w:tc>
      </w:tr>
      <w:tr w:rsidR="00A07798" w:rsidRPr="00800692" w14:paraId="6788C7F9" w14:textId="77777777" w:rsidTr="00A03D20">
        <w:trPr>
          <w:trHeight w:val="784"/>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6020C4A8" w14:textId="02C8B878" w:rsidR="00A07798" w:rsidRDefault="00A07798" w:rsidP="00A95A16">
            <w:pPr>
              <w:spacing w:before="100" w:after="100"/>
              <w:rPr>
                <w:rFonts w:ascii="Arial" w:hAnsi="Arial" w:cs="Arial"/>
                <w:b/>
                <w:sz w:val="24"/>
                <w:szCs w:val="24"/>
              </w:rPr>
            </w:pPr>
            <w:r>
              <w:rPr>
                <w:rFonts w:ascii="Arial" w:hAnsi="Arial" w:cs="Arial"/>
                <w:b/>
                <w:sz w:val="24"/>
                <w:szCs w:val="24"/>
              </w:rPr>
              <w:t>Maths and English</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64255757" w14:textId="2FF332B8" w:rsidR="00A07798" w:rsidRPr="00796AA0" w:rsidRDefault="00A07798" w:rsidP="00022FC4">
            <w:pPr>
              <w:pStyle w:val="ListParagraph"/>
              <w:numPr>
                <w:ilvl w:val="0"/>
                <w:numId w:val="6"/>
              </w:numPr>
              <w:spacing w:before="100" w:after="100"/>
              <w:rPr>
                <w:rFonts w:ascii="Arial" w:hAnsi="Arial" w:cs="Arial"/>
                <w:sz w:val="20"/>
                <w:szCs w:val="20"/>
                <w:lang w:val="en-US"/>
              </w:rPr>
            </w:pPr>
            <w:r w:rsidRPr="00796AA0">
              <w:rPr>
                <w:rFonts w:ascii="Arial" w:hAnsi="Arial" w:cs="Arial"/>
                <w:sz w:val="20"/>
                <w:szCs w:val="20"/>
                <w:lang w:val="en-US"/>
              </w:rPr>
              <w:t xml:space="preserve">Y3 – catch up on gaps in reading, writing and </w:t>
            </w:r>
            <w:proofErr w:type="spellStart"/>
            <w:r w:rsidRPr="00796AA0">
              <w:rPr>
                <w:rFonts w:ascii="Arial" w:hAnsi="Arial" w:cs="Arial"/>
                <w:sz w:val="20"/>
                <w:szCs w:val="20"/>
                <w:lang w:val="en-US"/>
              </w:rPr>
              <w:t>maths</w:t>
            </w:r>
            <w:proofErr w:type="spellEnd"/>
            <w:r w:rsidRPr="00796AA0">
              <w:rPr>
                <w:rFonts w:ascii="Arial" w:hAnsi="Arial" w:cs="Arial"/>
                <w:sz w:val="20"/>
                <w:szCs w:val="20"/>
                <w:lang w:val="en-US"/>
              </w:rPr>
              <w:t>- this is a cohort which were low in Y2 and we know is a cohort which has catch up needs due to the prolonged absence from school.</w:t>
            </w:r>
          </w:p>
        </w:tc>
        <w:tc>
          <w:tcPr>
            <w:tcW w:w="1417" w:type="dxa"/>
            <w:tcBorders>
              <w:top w:val="double" w:sz="4" w:space="0" w:color="000000"/>
              <w:left w:val="double" w:sz="4" w:space="0" w:color="000000"/>
              <w:right w:val="double" w:sz="4" w:space="0" w:color="auto"/>
            </w:tcBorders>
            <w:shd w:val="clear" w:color="auto" w:fill="FFFFFF"/>
            <w:tcMar>
              <w:top w:w="0" w:type="dxa"/>
              <w:left w:w="108" w:type="dxa"/>
              <w:bottom w:w="0" w:type="dxa"/>
              <w:right w:w="108" w:type="dxa"/>
            </w:tcMar>
          </w:tcPr>
          <w:p w14:paraId="4B6090D0" w14:textId="7C16690B" w:rsidR="00A07798" w:rsidRPr="00796AA0" w:rsidRDefault="00A07798" w:rsidP="00CB36B2">
            <w:pPr>
              <w:jc w:val="center"/>
              <w:rPr>
                <w:rFonts w:ascii="Arial" w:hAnsi="Arial" w:cs="Arial"/>
                <w:sz w:val="20"/>
                <w:szCs w:val="20"/>
                <w:lang w:val="en-US"/>
              </w:rPr>
            </w:pPr>
            <w:r w:rsidRPr="00796AA0">
              <w:rPr>
                <w:rFonts w:ascii="Arial" w:hAnsi="Arial" w:cs="Arial"/>
                <w:sz w:val="20"/>
                <w:szCs w:val="20"/>
                <w:lang w:val="en-US"/>
              </w:rPr>
              <w:t xml:space="preserve">Salary for teacher to work on Fridays would be - £169 per day </w:t>
            </w:r>
          </w:p>
          <w:p w14:paraId="07949D8B" w14:textId="77777777" w:rsidR="00A07798" w:rsidRPr="00796AA0" w:rsidRDefault="00A07798" w:rsidP="00A95A16">
            <w:pPr>
              <w:rPr>
                <w:rFonts w:ascii="Arial" w:hAnsi="Arial" w:cs="Arial"/>
                <w:sz w:val="20"/>
                <w:szCs w:val="20"/>
                <w:lang w:val="en-US"/>
              </w:rPr>
            </w:pPr>
          </w:p>
        </w:tc>
        <w:tc>
          <w:tcPr>
            <w:tcW w:w="1622" w:type="dxa"/>
            <w:vMerge/>
            <w:tcBorders>
              <w:left w:val="double" w:sz="4" w:space="0" w:color="auto"/>
              <w:right w:val="double" w:sz="4" w:space="0" w:color="000000"/>
            </w:tcBorders>
            <w:shd w:val="clear" w:color="auto" w:fill="FFFFFF"/>
            <w:tcMar>
              <w:top w:w="0" w:type="dxa"/>
              <w:left w:w="108" w:type="dxa"/>
              <w:bottom w:w="0" w:type="dxa"/>
              <w:right w:w="108" w:type="dxa"/>
            </w:tcMar>
          </w:tcPr>
          <w:p w14:paraId="6B6C976A" w14:textId="77777777" w:rsidR="00A07798" w:rsidRPr="00796AA0" w:rsidRDefault="00A07798" w:rsidP="00A07798">
            <w:pPr>
              <w:rPr>
                <w:rFonts w:ascii="Arial" w:hAnsi="Arial" w:cs="Arial"/>
                <w:sz w:val="20"/>
                <w:szCs w:val="20"/>
                <w:lang w:val="en-US"/>
              </w:rPr>
            </w:pPr>
          </w:p>
        </w:tc>
        <w:tc>
          <w:tcPr>
            <w:tcW w:w="3401" w:type="dxa"/>
            <w:tcBorders>
              <w:top w:val="double" w:sz="4" w:space="0" w:color="000000"/>
              <w:left w:val="double" w:sz="4" w:space="0" w:color="000000"/>
              <w:right w:val="double" w:sz="4" w:space="0" w:color="000000"/>
            </w:tcBorders>
            <w:shd w:val="clear" w:color="auto" w:fill="FFFFFF"/>
            <w:tcMar>
              <w:top w:w="0" w:type="dxa"/>
              <w:left w:w="108" w:type="dxa"/>
              <w:bottom w:w="0" w:type="dxa"/>
              <w:right w:w="108" w:type="dxa"/>
            </w:tcMar>
          </w:tcPr>
          <w:p w14:paraId="7EEA2481" w14:textId="076C0578" w:rsidR="00A07798" w:rsidRPr="00796AA0" w:rsidRDefault="00A07798" w:rsidP="00A07798">
            <w:pPr>
              <w:rPr>
                <w:rFonts w:ascii="Arial" w:hAnsi="Arial" w:cs="Arial"/>
                <w:sz w:val="20"/>
                <w:szCs w:val="20"/>
                <w:lang w:val="en-US"/>
              </w:rPr>
            </w:pPr>
            <w:r w:rsidRPr="00796AA0">
              <w:rPr>
                <w:rFonts w:ascii="Arial" w:hAnsi="Arial" w:cs="Arial"/>
                <w:sz w:val="20"/>
                <w:szCs w:val="20"/>
                <w:lang w:val="en-US"/>
              </w:rPr>
              <w:t xml:space="preserve">Total for 10 days extra support </w:t>
            </w:r>
            <w:r w:rsidRPr="00796AA0">
              <w:rPr>
                <w:rFonts w:ascii="Arial" w:hAnsi="Arial" w:cs="Arial"/>
                <w:b/>
                <w:sz w:val="20"/>
                <w:szCs w:val="20"/>
                <w:lang w:val="en-US"/>
              </w:rPr>
              <w:t>- £1169</w:t>
            </w:r>
            <w:r w:rsidRPr="00796AA0">
              <w:rPr>
                <w:rFonts w:ascii="Arial" w:hAnsi="Arial" w:cs="Arial"/>
                <w:sz w:val="20"/>
                <w:szCs w:val="20"/>
                <w:lang w:val="en-US"/>
              </w:rPr>
              <w:t xml:space="preserve"> </w:t>
            </w:r>
          </w:p>
          <w:p w14:paraId="77877700" w14:textId="77777777" w:rsidR="00A07798" w:rsidRPr="00796AA0" w:rsidRDefault="00A07798" w:rsidP="00A07798">
            <w:pPr>
              <w:rPr>
                <w:rFonts w:ascii="Arial" w:hAnsi="Arial" w:cs="Arial"/>
                <w:color w:val="FF0000"/>
                <w:sz w:val="20"/>
                <w:szCs w:val="20"/>
                <w:lang w:val="en-US"/>
              </w:rPr>
            </w:pPr>
            <w:r w:rsidRPr="00796AA0">
              <w:rPr>
                <w:rFonts w:ascii="Arial" w:hAnsi="Arial" w:cs="Arial"/>
                <w:color w:val="FF0000"/>
                <w:sz w:val="20"/>
                <w:szCs w:val="20"/>
                <w:lang w:val="en-US"/>
              </w:rPr>
              <w:t>March 2021update – spent £338</w:t>
            </w:r>
          </w:p>
          <w:p w14:paraId="3FF9A702" w14:textId="22ED2ADF" w:rsidR="00A07798" w:rsidRPr="00796AA0" w:rsidRDefault="00A07798" w:rsidP="00A07798">
            <w:pPr>
              <w:rPr>
                <w:rFonts w:ascii="Arial" w:hAnsi="Arial" w:cs="Arial"/>
                <w:sz w:val="20"/>
                <w:szCs w:val="20"/>
                <w:lang w:val="en-US"/>
              </w:rPr>
            </w:pPr>
            <w:r w:rsidRPr="00796AA0">
              <w:rPr>
                <w:rFonts w:ascii="Arial" w:hAnsi="Arial" w:cs="Arial"/>
                <w:color w:val="0070C0"/>
                <w:sz w:val="20"/>
                <w:szCs w:val="20"/>
                <w:lang w:val="en-US"/>
              </w:rPr>
              <w:t>Still to spend - £831</w:t>
            </w:r>
          </w:p>
        </w:tc>
      </w:tr>
      <w:tr w:rsidR="00A07798" w:rsidRPr="00800692" w14:paraId="1FAA0EF0" w14:textId="77777777" w:rsidTr="00A03D20">
        <w:trPr>
          <w:trHeight w:val="630"/>
          <w:jc w:val="center"/>
        </w:trPr>
        <w:tc>
          <w:tcPr>
            <w:tcW w:w="3238" w:type="dxa"/>
            <w:vMerge w:val="restart"/>
            <w:tcBorders>
              <w:top w:val="double" w:sz="4" w:space="0" w:color="000000"/>
              <w:left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73962E5F" w14:textId="77777777" w:rsidR="00A07798" w:rsidRPr="00800692" w:rsidRDefault="00A07798" w:rsidP="00A95A16">
            <w:pPr>
              <w:pStyle w:val="NoSpacing"/>
              <w:textAlignment w:val="auto"/>
              <w:rPr>
                <w:rFonts w:ascii="Arial" w:eastAsia="Times New Roman" w:hAnsi="Arial" w:cs="Arial"/>
                <w:b/>
                <w:sz w:val="24"/>
                <w:szCs w:val="24"/>
                <w:lang w:val="en-US" w:eastAsia="en-GB"/>
              </w:rPr>
            </w:pPr>
            <w:r>
              <w:rPr>
                <w:rFonts w:ascii="Arial" w:eastAsia="Times New Roman" w:hAnsi="Arial" w:cs="Arial"/>
                <w:b/>
                <w:sz w:val="24"/>
                <w:szCs w:val="24"/>
                <w:lang w:val="en-US" w:eastAsia="en-GB"/>
              </w:rPr>
              <w:t>Pupil Assessment</w:t>
            </w:r>
          </w:p>
        </w:tc>
        <w:tc>
          <w:tcPr>
            <w:tcW w:w="4961" w:type="dxa"/>
            <w:vMerge w:val="restart"/>
            <w:tcBorders>
              <w:top w:val="double" w:sz="4" w:space="0" w:color="000000"/>
              <w:left w:val="double" w:sz="4" w:space="0" w:color="000000"/>
              <w:right w:val="double" w:sz="4" w:space="0" w:color="000000"/>
            </w:tcBorders>
            <w:shd w:val="clear" w:color="auto" w:fill="FFFFFF"/>
          </w:tcPr>
          <w:p w14:paraId="1F09D666" w14:textId="77777777" w:rsidR="00A07798" w:rsidRPr="00796AA0" w:rsidRDefault="00A07798" w:rsidP="00A07798">
            <w:pPr>
              <w:jc w:val="both"/>
              <w:rPr>
                <w:rFonts w:ascii="Arial" w:hAnsi="Arial" w:cs="Arial"/>
                <w:sz w:val="20"/>
                <w:szCs w:val="20"/>
                <w:lang w:val="en-US"/>
              </w:rPr>
            </w:pPr>
          </w:p>
          <w:p w14:paraId="5828DF16" w14:textId="5772BCA1" w:rsidR="00A07798" w:rsidRPr="00796AA0" w:rsidRDefault="00A07798" w:rsidP="00A07798">
            <w:pPr>
              <w:jc w:val="both"/>
              <w:rPr>
                <w:rFonts w:ascii="Arial" w:hAnsi="Arial" w:cs="Arial"/>
                <w:sz w:val="20"/>
                <w:szCs w:val="20"/>
                <w:lang w:val="en-US"/>
              </w:rPr>
            </w:pPr>
            <w:r w:rsidRPr="00796AA0">
              <w:rPr>
                <w:rFonts w:ascii="Arial" w:hAnsi="Arial" w:cs="Arial"/>
                <w:sz w:val="20"/>
                <w:szCs w:val="20"/>
                <w:lang w:val="en-US"/>
              </w:rPr>
              <w:t xml:space="preserve">NTS assessments </w:t>
            </w:r>
          </w:p>
          <w:p w14:paraId="67BB4174" w14:textId="15CAFE99" w:rsidR="00A07798" w:rsidRPr="00796AA0" w:rsidRDefault="00A07798" w:rsidP="00A07798">
            <w:pPr>
              <w:jc w:val="both"/>
              <w:rPr>
                <w:rFonts w:ascii="Arial" w:hAnsi="Arial" w:cs="Arial"/>
                <w:sz w:val="20"/>
                <w:szCs w:val="20"/>
                <w:lang w:val="en-US"/>
              </w:rPr>
            </w:pPr>
          </w:p>
          <w:p w14:paraId="2795E5F0" w14:textId="3CA2DE10" w:rsidR="00A07798" w:rsidRPr="00796AA0" w:rsidRDefault="00A07798" w:rsidP="00A07798">
            <w:pPr>
              <w:jc w:val="both"/>
              <w:rPr>
                <w:rFonts w:ascii="Arial" w:hAnsi="Arial" w:cs="Arial"/>
                <w:sz w:val="20"/>
                <w:szCs w:val="20"/>
                <w:lang w:val="en-US"/>
              </w:rPr>
            </w:pPr>
          </w:p>
          <w:p w14:paraId="4F2DD64A" w14:textId="2C82C3DA" w:rsidR="00A07798" w:rsidRPr="00796AA0" w:rsidRDefault="00A07798" w:rsidP="00A07798">
            <w:pPr>
              <w:jc w:val="both"/>
              <w:rPr>
                <w:rFonts w:ascii="Arial" w:hAnsi="Arial" w:cs="Arial"/>
                <w:sz w:val="20"/>
                <w:szCs w:val="20"/>
                <w:lang w:val="en-US"/>
              </w:rPr>
            </w:pPr>
          </w:p>
          <w:p w14:paraId="2FA05C69" w14:textId="77777777" w:rsidR="00A07798" w:rsidRPr="00796AA0" w:rsidRDefault="00A07798" w:rsidP="00A07798">
            <w:pPr>
              <w:jc w:val="both"/>
              <w:rPr>
                <w:rFonts w:ascii="Arial" w:hAnsi="Arial" w:cs="Arial"/>
                <w:sz w:val="20"/>
                <w:szCs w:val="20"/>
                <w:lang w:val="en-US"/>
              </w:rPr>
            </w:pPr>
          </w:p>
          <w:p w14:paraId="7BB3EC38" w14:textId="14A979B1" w:rsidR="00A07798" w:rsidRPr="00796AA0" w:rsidRDefault="00A07798" w:rsidP="00A07798">
            <w:pPr>
              <w:jc w:val="both"/>
              <w:rPr>
                <w:rFonts w:ascii="Arial" w:hAnsi="Arial" w:cs="Arial"/>
                <w:sz w:val="20"/>
                <w:szCs w:val="20"/>
                <w:lang w:val="en-US"/>
              </w:rPr>
            </w:pPr>
            <w:r w:rsidRPr="00796AA0">
              <w:rPr>
                <w:rFonts w:ascii="Arial" w:hAnsi="Arial" w:cs="Arial"/>
                <w:sz w:val="20"/>
                <w:szCs w:val="20"/>
                <w:lang w:val="en-US"/>
              </w:rPr>
              <w:t>Ninja Reading comprehension books for Y1- Y6</w:t>
            </w:r>
          </w:p>
          <w:p w14:paraId="44AE2AF5" w14:textId="77777777" w:rsidR="005A691C" w:rsidRPr="00796AA0" w:rsidRDefault="005A691C" w:rsidP="00A07798">
            <w:pPr>
              <w:jc w:val="both"/>
              <w:rPr>
                <w:rFonts w:ascii="Arial" w:hAnsi="Arial" w:cs="Arial"/>
                <w:sz w:val="20"/>
                <w:szCs w:val="20"/>
                <w:lang w:val="en-US"/>
              </w:rPr>
            </w:pPr>
          </w:p>
          <w:p w14:paraId="476DF7EE" w14:textId="1A542465" w:rsidR="00D94317" w:rsidRPr="00796AA0" w:rsidRDefault="00A07798" w:rsidP="00A07798">
            <w:pPr>
              <w:jc w:val="both"/>
              <w:rPr>
                <w:rFonts w:ascii="Arial" w:hAnsi="Arial" w:cs="Arial"/>
                <w:sz w:val="20"/>
                <w:szCs w:val="20"/>
                <w:lang w:val="en-US"/>
              </w:rPr>
            </w:pPr>
            <w:r w:rsidRPr="00796AA0">
              <w:rPr>
                <w:rFonts w:ascii="Arial" w:hAnsi="Arial" w:cs="Arial"/>
                <w:sz w:val="20"/>
                <w:szCs w:val="20"/>
                <w:lang w:val="en-US"/>
              </w:rPr>
              <w:t xml:space="preserve">Shine literacy and numeracy resources Rising Stars publication for each year group </w:t>
            </w:r>
          </w:p>
          <w:p w14:paraId="3FFBFC60" w14:textId="77777777" w:rsidR="00D94317" w:rsidRPr="00796AA0" w:rsidRDefault="00D94317" w:rsidP="00A07798">
            <w:pPr>
              <w:jc w:val="both"/>
              <w:rPr>
                <w:rFonts w:ascii="Arial" w:hAnsi="Arial" w:cs="Arial"/>
                <w:sz w:val="20"/>
                <w:szCs w:val="20"/>
                <w:lang w:val="en-US"/>
              </w:rPr>
            </w:pPr>
          </w:p>
          <w:p w14:paraId="1038852D" w14:textId="77777777" w:rsidR="00A07798" w:rsidRPr="00796AA0" w:rsidRDefault="00A07798" w:rsidP="00A07798">
            <w:pPr>
              <w:jc w:val="both"/>
              <w:rPr>
                <w:rFonts w:ascii="Arial" w:hAnsi="Arial" w:cs="Arial"/>
                <w:sz w:val="20"/>
                <w:szCs w:val="20"/>
                <w:lang w:val="en-US"/>
              </w:rPr>
            </w:pPr>
            <w:r w:rsidRPr="00796AA0">
              <w:rPr>
                <w:rFonts w:ascii="Arial" w:hAnsi="Arial" w:cs="Arial"/>
                <w:sz w:val="20"/>
                <w:szCs w:val="20"/>
                <w:lang w:val="en-US"/>
              </w:rPr>
              <w:t xml:space="preserve">Reading Books for KS1 and FS2 </w:t>
            </w:r>
          </w:p>
          <w:p w14:paraId="637DE380" w14:textId="25C22C3C" w:rsidR="00A07798" w:rsidRPr="00796AA0" w:rsidRDefault="00A07798" w:rsidP="00A07798">
            <w:pPr>
              <w:pStyle w:val="ListParagraph"/>
              <w:spacing w:before="100" w:after="100"/>
              <w:rPr>
                <w:rFonts w:ascii="Arial" w:hAnsi="Arial" w:cs="Arial"/>
                <w:sz w:val="20"/>
                <w:szCs w:val="20"/>
                <w:lang w:val="en-US"/>
              </w:rPr>
            </w:pPr>
          </w:p>
        </w:tc>
        <w:tc>
          <w:tcPr>
            <w:tcW w:w="1417" w:type="dxa"/>
            <w:vMerge w:val="restart"/>
            <w:tcBorders>
              <w:left w:val="double" w:sz="4" w:space="0" w:color="000000"/>
              <w:right w:val="double" w:sz="4" w:space="0" w:color="auto"/>
            </w:tcBorders>
            <w:shd w:val="clear" w:color="auto" w:fill="FFFFFF"/>
            <w:tcMar>
              <w:top w:w="0" w:type="dxa"/>
              <w:left w:w="108" w:type="dxa"/>
              <w:bottom w:w="0" w:type="dxa"/>
              <w:right w:w="108" w:type="dxa"/>
            </w:tcMar>
          </w:tcPr>
          <w:p w14:paraId="6F8DA267" w14:textId="77777777" w:rsidR="00A07798" w:rsidRPr="00796AA0" w:rsidRDefault="00A07798" w:rsidP="00A95A16">
            <w:pPr>
              <w:spacing w:before="100" w:after="100"/>
              <w:jc w:val="center"/>
              <w:rPr>
                <w:rFonts w:ascii="Arial" w:hAnsi="Arial" w:cs="Arial"/>
                <w:color w:val="FF0000"/>
                <w:sz w:val="20"/>
                <w:szCs w:val="20"/>
                <w:lang w:val="en-US"/>
              </w:rPr>
            </w:pPr>
          </w:p>
        </w:tc>
        <w:tc>
          <w:tcPr>
            <w:tcW w:w="1622" w:type="dxa"/>
            <w:vMerge/>
            <w:tcBorders>
              <w:left w:val="double" w:sz="4" w:space="0" w:color="auto"/>
              <w:right w:val="double" w:sz="4" w:space="0" w:color="000000"/>
            </w:tcBorders>
            <w:shd w:val="clear" w:color="auto" w:fill="FFFFFF"/>
            <w:tcMar>
              <w:top w:w="0" w:type="dxa"/>
              <w:left w:w="108" w:type="dxa"/>
              <w:bottom w:w="0" w:type="dxa"/>
              <w:right w:w="108" w:type="dxa"/>
            </w:tcMar>
          </w:tcPr>
          <w:p w14:paraId="279C41C1" w14:textId="77777777" w:rsidR="00A07798" w:rsidRPr="00796AA0" w:rsidRDefault="00A07798" w:rsidP="00A07798">
            <w:pPr>
              <w:spacing w:before="100" w:after="100"/>
              <w:rPr>
                <w:rFonts w:ascii="Arial" w:hAnsi="Arial" w:cs="Arial"/>
                <w:color w:val="FF0000"/>
                <w:sz w:val="20"/>
                <w:szCs w:val="20"/>
                <w:lang w:val="en-US"/>
              </w:rPr>
            </w:pPr>
          </w:p>
        </w:tc>
        <w:tc>
          <w:tcPr>
            <w:tcW w:w="3401" w:type="dxa"/>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3093582A" w14:textId="77777777" w:rsidR="00A07798" w:rsidRPr="00796AA0" w:rsidRDefault="00A07798" w:rsidP="00A07798">
            <w:pPr>
              <w:pStyle w:val="NoSpacing"/>
              <w:textAlignment w:val="auto"/>
              <w:rPr>
                <w:rFonts w:ascii="Arial" w:eastAsia="Times New Roman" w:hAnsi="Arial" w:cs="Arial"/>
                <w:b/>
                <w:color w:val="FF0000"/>
                <w:sz w:val="20"/>
                <w:szCs w:val="20"/>
                <w:lang w:val="en-US" w:eastAsia="en-GB"/>
              </w:rPr>
            </w:pPr>
          </w:p>
        </w:tc>
      </w:tr>
      <w:tr w:rsidR="00A07798" w:rsidRPr="00800692" w14:paraId="63C16748" w14:textId="77777777" w:rsidTr="00C602A7">
        <w:trPr>
          <w:trHeight w:val="630"/>
          <w:jc w:val="center"/>
        </w:trPr>
        <w:tc>
          <w:tcPr>
            <w:tcW w:w="3238" w:type="dxa"/>
            <w:vMerge/>
            <w:tcBorders>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11F1C510" w14:textId="77777777" w:rsidR="00A07798" w:rsidRDefault="00A07798" w:rsidP="00A95A16">
            <w:pPr>
              <w:pStyle w:val="NoSpacing"/>
              <w:textAlignment w:val="auto"/>
              <w:rPr>
                <w:rFonts w:ascii="Arial" w:eastAsia="Times New Roman" w:hAnsi="Arial" w:cs="Arial"/>
                <w:b/>
                <w:sz w:val="24"/>
                <w:szCs w:val="24"/>
                <w:lang w:val="en-US" w:eastAsia="en-GB"/>
              </w:rPr>
            </w:pPr>
          </w:p>
        </w:tc>
        <w:tc>
          <w:tcPr>
            <w:tcW w:w="4961" w:type="dxa"/>
            <w:vMerge/>
            <w:tcBorders>
              <w:left w:val="double" w:sz="4" w:space="0" w:color="000000"/>
              <w:bottom w:val="double" w:sz="4" w:space="0" w:color="000000"/>
              <w:right w:val="double" w:sz="4" w:space="0" w:color="000000"/>
            </w:tcBorders>
            <w:shd w:val="clear" w:color="auto" w:fill="FFFFFF"/>
          </w:tcPr>
          <w:p w14:paraId="0321B53B" w14:textId="77777777" w:rsidR="00A07798" w:rsidRPr="00796AA0" w:rsidRDefault="00A07798" w:rsidP="00A95A16">
            <w:pPr>
              <w:pStyle w:val="ListParagraph"/>
              <w:numPr>
                <w:ilvl w:val="0"/>
                <w:numId w:val="9"/>
              </w:numPr>
              <w:spacing w:before="100" w:after="100"/>
              <w:rPr>
                <w:rFonts w:ascii="Arial" w:hAnsi="Arial" w:cs="Arial"/>
                <w:sz w:val="20"/>
                <w:szCs w:val="20"/>
                <w:lang w:val="en-US"/>
              </w:rPr>
            </w:pPr>
          </w:p>
        </w:tc>
        <w:tc>
          <w:tcPr>
            <w:tcW w:w="1417" w:type="dxa"/>
            <w:vMerge/>
            <w:tcBorders>
              <w:left w:val="double" w:sz="4" w:space="0" w:color="000000"/>
              <w:bottom w:val="double" w:sz="4" w:space="0" w:color="000000"/>
              <w:right w:val="double" w:sz="4" w:space="0" w:color="auto"/>
            </w:tcBorders>
            <w:shd w:val="clear" w:color="auto" w:fill="FFFFFF"/>
            <w:tcMar>
              <w:top w:w="0" w:type="dxa"/>
              <w:left w:w="108" w:type="dxa"/>
              <w:bottom w:w="0" w:type="dxa"/>
              <w:right w:w="108" w:type="dxa"/>
            </w:tcMar>
          </w:tcPr>
          <w:p w14:paraId="3F3257AC" w14:textId="77777777" w:rsidR="00A07798" w:rsidRPr="00796AA0" w:rsidRDefault="00A07798" w:rsidP="00A95A16">
            <w:pPr>
              <w:spacing w:before="100" w:after="100"/>
              <w:jc w:val="center"/>
              <w:rPr>
                <w:rFonts w:ascii="Arial" w:hAnsi="Arial" w:cs="Arial"/>
                <w:color w:val="FF0000"/>
                <w:sz w:val="20"/>
                <w:szCs w:val="20"/>
                <w:lang w:val="en-US"/>
              </w:rPr>
            </w:pPr>
          </w:p>
        </w:tc>
        <w:tc>
          <w:tcPr>
            <w:tcW w:w="1622" w:type="dxa"/>
            <w:vMerge/>
            <w:tcBorders>
              <w:left w:val="double" w:sz="4" w:space="0" w:color="auto"/>
              <w:bottom w:val="double" w:sz="4" w:space="0" w:color="000000"/>
              <w:right w:val="double" w:sz="4" w:space="0" w:color="000000"/>
            </w:tcBorders>
            <w:shd w:val="clear" w:color="auto" w:fill="FFFFFF"/>
            <w:tcMar>
              <w:top w:w="0" w:type="dxa"/>
              <w:left w:w="108" w:type="dxa"/>
              <w:bottom w:w="0" w:type="dxa"/>
              <w:right w:w="108" w:type="dxa"/>
            </w:tcMar>
          </w:tcPr>
          <w:p w14:paraId="095A4705" w14:textId="77777777" w:rsidR="00A07798" w:rsidRPr="00796AA0" w:rsidRDefault="00A07798" w:rsidP="00A07798">
            <w:pPr>
              <w:spacing w:before="100" w:after="100"/>
              <w:rPr>
                <w:rFonts w:ascii="Arial" w:hAnsi="Arial" w:cs="Arial"/>
                <w:color w:val="FF0000"/>
                <w:sz w:val="20"/>
                <w:szCs w:val="20"/>
                <w:lang w:val="en-US"/>
              </w:rPr>
            </w:pPr>
          </w:p>
        </w:tc>
        <w:tc>
          <w:tcPr>
            <w:tcW w:w="3401" w:type="dxa"/>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2796B6B7" w14:textId="77777777" w:rsidR="00A07798" w:rsidRPr="00796AA0" w:rsidRDefault="00A07798" w:rsidP="00A07798">
            <w:pPr>
              <w:rPr>
                <w:rFonts w:ascii="Arial" w:hAnsi="Arial" w:cs="Arial"/>
                <w:sz w:val="20"/>
                <w:szCs w:val="20"/>
                <w:lang w:val="en-US"/>
              </w:rPr>
            </w:pPr>
            <w:r w:rsidRPr="00796AA0">
              <w:rPr>
                <w:rFonts w:ascii="Arial" w:hAnsi="Arial" w:cs="Arial"/>
                <w:sz w:val="20"/>
                <w:szCs w:val="20"/>
                <w:lang w:val="en-US"/>
              </w:rPr>
              <w:t>£1,200</w:t>
            </w:r>
          </w:p>
          <w:p w14:paraId="2E48B2D6" w14:textId="1E9DD23A" w:rsidR="00A07798" w:rsidRPr="00796AA0" w:rsidRDefault="00A07798" w:rsidP="00A07798">
            <w:pPr>
              <w:rPr>
                <w:rFonts w:ascii="Arial" w:hAnsi="Arial" w:cs="Arial"/>
                <w:sz w:val="20"/>
                <w:szCs w:val="20"/>
                <w:lang w:val="en-US"/>
              </w:rPr>
            </w:pPr>
            <w:r w:rsidRPr="00796AA0">
              <w:rPr>
                <w:rFonts w:ascii="Arial" w:hAnsi="Arial" w:cs="Arial"/>
                <w:color w:val="FF0000"/>
                <w:sz w:val="20"/>
                <w:szCs w:val="20"/>
                <w:lang w:val="en-US"/>
              </w:rPr>
              <w:t>October - £589.68</w:t>
            </w:r>
          </w:p>
          <w:p w14:paraId="75898A29" w14:textId="1AD67A46" w:rsidR="00A07798" w:rsidRPr="00796AA0" w:rsidRDefault="00A07798" w:rsidP="00A07798">
            <w:pPr>
              <w:rPr>
                <w:rFonts w:ascii="Arial" w:hAnsi="Arial" w:cs="Arial"/>
                <w:color w:val="FF0000"/>
                <w:sz w:val="20"/>
                <w:szCs w:val="20"/>
                <w:lang w:val="en-US"/>
              </w:rPr>
            </w:pPr>
            <w:r w:rsidRPr="00796AA0">
              <w:rPr>
                <w:rFonts w:ascii="Arial" w:hAnsi="Arial" w:cs="Arial"/>
                <w:color w:val="FF0000"/>
                <w:sz w:val="20"/>
                <w:szCs w:val="20"/>
                <w:lang w:val="en-US"/>
              </w:rPr>
              <w:t xml:space="preserve">March – [spring and summer test papers] - £528.20 </w:t>
            </w:r>
          </w:p>
          <w:p w14:paraId="38863EB5" w14:textId="4C85764E" w:rsidR="00A07798" w:rsidRPr="00796AA0" w:rsidRDefault="00A07798" w:rsidP="00A07798">
            <w:pPr>
              <w:rPr>
                <w:rFonts w:ascii="Arial" w:hAnsi="Arial" w:cs="Arial"/>
                <w:color w:val="0070C0"/>
                <w:sz w:val="20"/>
                <w:szCs w:val="20"/>
                <w:lang w:val="en-US"/>
              </w:rPr>
            </w:pPr>
            <w:r w:rsidRPr="00796AA0">
              <w:rPr>
                <w:rFonts w:ascii="Arial" w:hAnsi="Arial" w:cs="Arial"/>
                <w:color w:val="0070C0"/>
                <w:sz w:val="20"/>
                <w:szCs w:val="20"/>
                <w:lang w:val="en-US"/>
              </w:rPr>
              <w:t xml:space="preserve">£82.12 remaining </w:t>
            </w:r>
          </w:p>
          <w:p w14:paraId="3F782B7A" w14:textId="77777777" w:rsidR="00A07798" w:rsidRPr="00796AA0" w:rsidRDefault="00A07798" w:rsidP="00A07798">
            <w:pPr>
              <w:rPr>
                <w:rFonts w:ascii="Arial" w:hAnsi="Arial" w:cs="Arial"/>
                <w:sz w:val="20"/>
                <w:szCs w:val="20"/>
                <w:lang w:val="en-US"/>
              </w:rPr>
            </w:pPr>
            <w:r w:rsidRPr="00796AA0">
              <w:rPr>
                <w:rFonts w:ascii="Arial" w:hAnsi="Arial" w:cs="Arial"/>
                <w:sz w:val="20"/>
                <w:szCs w:val="20"/>
                <w:lang w:val="en-US"/>
              </w:rPr>
              <w:t>£120</w:t>
            </w:r>
          </w:p>
          <w:p w14:paraId="340BD026" w14:textId="58568CCB" w:rsidR="00A07798" w:rsidRPr="00796AA0" w:rsidRDefault="00A07798" w:rsidP="00A07798">
            <w:pPr>
              <w:rPr>
                <w:rFonts w:ascii="Arial" w:hAnsi="Arial" w:cs="Arial"/>
                <w:color w:val="FF0000"/>
                <w:sz w:val="20"/>
                <w:szCs w:val="20"/>
                <w:lang w:val="en-US"/>
              </w:rPr>
            </w:pPr>
            <w:r w:rsidRPr="00796AA0">
              <w:rPr>
                <w:rFonts w:ascii="Arial" w:hAnsi="Arial" w:cs="Arial"/>
                <w:color w:val="FF0000"/>
                <w:sz w:val="20"/>
                <w:szCs w:val="20"/>
                <w:lang w:val="en-US"/>
              </w:rPr>
              <w:t>£118.24 spent so far</w:t>
            </w:r>
          </w:p>
          <w:p w14:paraId="37186F72" w14:textId="443D113B" w:rsidR="00A07798" w:rsidRPr="00796AA0" w:rsidRDefault="00A07798" w:rsidP="00A07798">
            <w:pPr>
              <w:rPr>
                <w:rFonts w:ascii="Arial" w:hAnsi="Arial" w:cs="Arial"/>
                <w:color w:val="0070C0"/>
                <w:sz w:val="20"/>
                <w:szCs w:val="20"/>
                <w:lang w:val="en-US"/>
              </w:rPr>
            </w:pPr>
            <w:r w:rsidRPr="00796AA0">
              <w:rPr>
                <w:rFonts w:ascii="Arial" w:hAnsi="Arial" w:cs="Arial"/>
                <w:color w:val="0070C0"/>
                <w:sz w:val="20"/>
                <w:szCs w:val="20"/>
                <w:lang w:val="en-US"/>
              </w:rPr>
              <w:t>£1.76 remaining</w:t>
            </w:r>
          </w:p>
          <w:p w14:paraId="2C9219B3" w14:textId="64F49799" w:rsidR="005A691C" w:rsidRPr="00796AA0" w:rsidRDefault="00A07798" w:rsidP="00A07798">
            <w:pPr>
              <w:rPr>
                <w:rFonts w:ascii="Arial" w:hAnsi="Arial" w:cs="Arial"/>
                <w:sz w:val="20"/>
                <w:szCs w:val="20"/>
                <w:lang w:val="en-US"/>
              </w:rPr>
            </w:pPr>
            <w:r w:rsidRPr="00796AA0">
              <w:rPr>
                <w:rFonts w:ascii="Arial" w:hAnsi="Arial" w:cs="Arial"/>
                <w:sz w:val="20"/>
                <w:szCs w:val="20"/>
                <w:lang w:val="en-US"/>
              </w:rPr>
              <w:t xml:space="preserve">£700 </w:t>
            </w:r>
          </w:p>
          <w:p w14:paraId="5EFC9352" w14:textId="28F392B3" w:rsidR="00A07798" w:rsidRPr="00796AA0" w:rsidRDefault="00A07798" w:rsidP="00A07798">
            <w:pPr>
              <w:rPr>
                <w:rFonts w:ascii="Arial" w:hAnsi="Arial" w:cs="Arial"/>
                <w:sz w:val="20"/>
                <w:szCs w:val="20"/>
                <w:lang w:val="en-US"/>
              </w:rPr>
            </w:pPr>
            <w:r w:rsidRPr="00796AA0">
              <w:rPr>
                <w:rFonts w:ascii="Arial" w:hAnsi="Arial" w:cs="Arial"/>
                <w:sz w:val="20"/>
                <w:szCs w:val="20"/>
                <w:lang w:val="en-US"/>
              </w:rPr>
              <w:t xml:space="preserve">Not yet charged for </w:t>
            </w:r>
          </w:p>
          <w:p w14:paraId="568A6AD6" w14:textId="1AAC9BCA" w:rsidR="00A07798" w:rsidRPr="00796AA0" w:rsidRDefault="00A07798" w:rsidP="00A07798">
            <w:pPr>
              <w:rPr>
                <w:rFonts w:ascii="Arial" w:hAnsi="Arial" w:cs="Arial"/>
                <w:color w:val="0070C0"/>
                <w:sz w:val="20"/>
                <w:szCs w:val="20"/>
                <w:lang w:val="en-US"/>
              </w:rPr>
            </w:pPr>
            <w:r w:rsidRPr="00796AA0">
              <w:rPr>
                <w:rFonts w:ascii="Arial" w:hAnsi="Arial" w:cs="Arial"/>
                <w:color w:val="FF0000"/>
                <w:sz w:val="20"/>
                <w:szCs w:val="20"/>
                <w:lang w:val="en-US"/>
              </w:rPr>
              <w:t xml:space="preserve">£697.20 spent on reading books – not allocated at the beginning of the </w:t>
            </w:r>
            <w:proofErr w:type="gramStart"/>
            <w:r w:rsidRPr="00796AA0">
              <w:rPr>
                <w:rFonts w:ascii="Arial" w:hAnsi="Arial" w:cs="Arial"/>
                <w:color w:val="FF0000"/>
                <w:sz w:val="20"/>
                <w:szCs w:val="20"/>
                <w:lang w:val="en-US"/>
              </w:rPr>
              <w:t>Catch Up</w:t>
            </w:r>
            <w:proofErr w:type="gramEnd"/>
            <w:r w:rsidRPr="00796AA0">
              <w:rPr>
                <w:rFonts w:ascii="Arial" w:hAnsi="Arial" w:cs="Arial"/>
                <w:color w:val="FF0000"/>
                <w:sz w:val="20"/>
                <w:szCs w:val="20"/>
                <w:lang w:val="en-US"/>
              </w:rPr>
              <w:t xml:space="preserve"> Plan</w:t>
            </w:r>
          </w:p>
          <w:p w14:paraId="676333A6" w14:textId="77777777" w:rsidR="00A07798" w:rsidRPr="00796AA0" w:rsidRDefault="00A07798" w:rsidP="00A07798">
            <w:pPr>
              <w:pStyle w:val="NoSpacing"/>
              <w:textAlignment w:val="auto"/>
              <w:rPr>
                <w:rFonts w:ascii="Arial" w:eastAsia="Times New Roman" w:hAnsi="Arial" w:cs="Arial"/>
                <w:b/>
                <w:color w:val="FF0000"/>
                <w:sz w:val="20"/>
                <w:szCs w:val="20"/>
                <w:lang w:val="en-US" w:eastAsia="en-GB"/>
              </w:rPr>
            </w:pPr>
          </w:p>
        </w:tc>
      </w:tr>
      <w:tr w:rsidR="00A95A16" w:rsidRPr="00800692" w14:paraId="5369B0F5" w14:textId="77777777" w:rsidTr="00CB36B2">
        <w:trPr>
          <w:trHeight w:val="3373"/>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5A0BD232" w14:textId="77777777" w:rsidR="00A95A16" w:rsidRPr="00800692" w:rsidRDefault="00A95A16" w:rsidP="00A95A16">
            <w:pPr>
              <w:pStyle w:val="NoSpacing"/>
              <w:textAlignment w:val="auto"/>
              <w:rPr>
                <w:rFonts w:ascii="Arial" w:eastAsia="Times New Roman" w:hAnsi="Arial" w:cs="Arial"/>
                <w:b/>
                <w:sz w:val="24"/>
                <w:szCs w:val="24"/>
                <w:lang w:val="en-US" w:eastAsia="en-GB"/>
              </w:rPr>
            </w:pPr>
            <w:proofErr w:type="spellStart"/>
            <w:r>
              <w:rPr>
                <w:rFonts w:ascii="Arial" w:eastAsia="Times New Roman" w:hAnsi="Arial" w:cs="Arial"/>
                <w:b/>
                <w:sz w:val="24"/>
                <w:szCs w:val="24"/>
                <w:lang w:val="en-US" w:eastAsia="en-GB"/>
              </w:rPr>
              <w:lastRenderedPageBreak/>
              <w:t>Behaviours</w:t>
            </w:r>
            <w:proofErr w:type="spellEnd"/>
            <w:r>
              <w:rPr>
                <w:rFonts w:ascii="Arial" w:eastAsia="Times New Roman" w:hAnsi="Arial" w:cs="Arial"/>
                <w:b/>
                <w:sz w:val="24"/>
                <w:szCs w:val="24"/>
                <w:lang w:val="en-US" w:eastAsia="en-GB"/>
              </w:rPr>
              <w:t xml:space="preserve"> and Attitudes</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128BAD2C" w14:textId="77777777" w:rsidR="00A95A16" w:rsidRPr="00796AA0" w:rsidRDefault="00A95A16" w:rsidP="00A95A16">
            <w:pPr>
              <w:shd w:val="clear" w:color="auto" w:fill="FFFFFF"/>
              <w:spacing w:after="0" w:line="240" w:lineRule="auto"/>
              <w:ind w:left="131"/>
              <w:rPr>
                <w:rFonts w:ascii="Arial" w:hAnsi="Arial" w:cs="Arial"/>
                <w:sz w:val="20"/>
                <w:szCs w:val="20"/>
                <w:lang w:val="en-US"/>
              </w:rPr>
            </w:pPr>
          </w:p>
          <w:p w14:paraId="137F1EC5" w14:textId="77777777" w:rsidR="00A95A16" w:rsidRPr="00796AA0" w:rsidRDefault="00A95A16" w:rsidP="00A95A16">
            <w:pPr>
              <w:pStyle w:val="NoSpacing"/>
              <w:numPr>
                <w:ilvl w:val="0"/>
                <w:numId w:val="9"/>
              </w:numPr>
              <w:textAlignment w:val="auto"/>
              <w:rPr>
                <w:rFonts w:ascii="Arial" w:eastAsia="Times New Roman" w:hAnsi="Arial" w:cs="Arial"/>
                <w:b/>
                <w:sz w:val="20"/>
                <w:szCs w:val="20"/>
                <w:lang w:val="en-US" w:eastAsia="en-GB"/>
              </w:rPr>
            </w:pPr>
            <w:r w:rsidRPr="00796AA0">
              <w:rPr>
                <w:rFonts w:ascii="Arial" w:hAnsi="Arial" w:cs="Arial"/>
                <w:color w:val="000000" w:themeColor="text1"/>
                <w:sz w:val="20"/>
                <w:szCs w:val="20"/>
              </w:rPr>
              <w:t xml:space="preserve">Aspects of children’s mental health and wellbeing affected by the pandemic and lockdown are recovered.  </w:t>
            </w:r>
          </w:p>
          <w:p w14:paraId="0ECC1E5F" w14:textId="77777777" w:rsidR="00A95A16" w:rsidRPr="00796AA0" w:rsidRDefault="00A95A16" w:rsidP="00A95A16">
            <w:pPr>
              <w:shd w:val="clear" w:color="auto" w:fill="FFFFFF"/>
              <w:spacing w:after="0" w:line="240" w:lineRule="auto"/>
              <w:ind w:left="131"/>
              <w:rPr>
                <w:rFonts w:ascii="Arial" w:hAnsi="Arial" w:cs="Arial"/>
                <w:sz w:val="20"/>
                <w:szCs w:val="20"/>
                <w:lang w:val="en-US"/>
              </w:rPr>
            </w:pPr>
          </w:p>
          <w:p w14:paraId="47B5DBD5" w14:textId="77777777" w:rsidR="00A95A16" w:rsidRPr="00796AA0" w:rsidRDefault="00A95A16" w:rsidP="00A95A16">
            <w:pPr>
              <w:numPr>
                <w:ilvl w:val="0"/>
                <w:numId w:val="11"/>
              </w:numPr>
              <w:spacing w:after="0" w:line="240" w:lineRule="auto"/>
              <w:rPr>
                <w:rFonts w:ascii="Arial" w:eastAsia="Calibri" w:hAnsi="Arial" w:cs="Arial"/>
                <w:sz w:val="20"/>
                <w:szCs w:val="20"/>
                <w:u w:val="single"/>
              </w:rPr>
            </w:pPr>
            <w:r w:rsidRPr="00796AA0">
              <w:rPr>
                <w:rFonts w:ascii="Arial" w:eastAsia="Calibri" w:hAnsi="Arial" w:cs="Arial"/>
                <w:sz w:val="20"/>
                <w:szCs w:val="20"/>
              </w:rPr>
              <w:t xml:space="preserve">Support pupils’ anxieties and wellbeing followed by the </w:t>
            </w:r>
            <w:proofErr w:type="spellStart"/>
            <w:r w:rsidRPr="00796AA0">
              <w:rPr>
                <w:rFonts w:ascii="Arial" w:eastAsia="Calibri" w:hAnsi="Arial" w:cs="Arial"/>
                <w:sz w:val="20"/>
                <w:szCs w:val="20"/>
              </w:rPr>
              <w:t>Covid</w:t>
            </w:r>
            <w:proofErr w:type="spellEnd"/>
            <w:r w:rsidRPr="00796AA0">
              <w:rPr>
                <w:rFonts w:ascii="Arial" w:eastAsia="Calibri" w:hAnsi="Arial" w:cs="Arial"/>
                <w:sz w:val="20"/>
                <w:szCs w:val="20"/>
              </w:rPr>
              <w:t xml:space="preserve"> pandemic and lockdown to that all children feel safe, happy and listened to.</w:t>
            </w:r>
          </w:p>
          <w:p w14:paraId="26BF527F" w14:textId="77777777" w:rsidR="00A95A16" w:rsidRPr="00796AA0" w:rsidRDefault="00A95A16" w:rsidP="00A95A16">
            <w:pPr>
              <w:spacing w:after="0" w:line="240" w:lineRule="auto"/>
              <w:ind w:left="720"/>
              <w:rPr>
                <w:rFonts w:ascii="Arial" w:eastAsia="Calibri" w:hAnsi="Arial" w:cs="Arial"/>
                <w:sz w:val="20"/>
                <w:szCs w:val="20"/>
                <w:u w:val="single"/>
              </w:rPr>
            </w:pPr>
          </w:p>
          <w:p w14:paraId="14CC9CFE" w14:textId="77777777" w:rsidR="00A95A16" w:rsidRPr="00796AA0" w:rsidRDefault="00A95A16" w:rsidP="00A95A16">
            <w:pPr>
              <w:numPr>
                <w:ilvl w:val="0"/>
                <w:numId w:val="11"/>
              </w:numPr>
              <w:spacing w:after="0" w:line="240" w:lineRule="auto"/>
              <w:rPr>
                <w:rFonts w:ascii="Arial" w:eastAsia="Calibri" w:hAnsi="Arial" w:cs="Arial"/>
                <w:sz w:val="20"/>
                <w:szCs w:val="20"/>
                <w:u w:val="single"/>
              </w:rPr>
            </w:pPr>
            <w:r w:rsidRPr="00796AA0">
              <w:rPr>
                <w:rFonts w:ascii="Arial" w:eastAsia="Calibri" w:hAnsi="Arial" w:cs="Arial"/>
                <w:sz w:val="20"/>
                <w:szCs w:val="20"/>
              </w:rPr>
              <w:t>Develop resilience – equip staff to enable pupils to recover some of the resilience lost since lockdown.</w:t>
            </w:r>
          </w:p>
          <w:p w14:paraId="08AF815C" w14:textId="77777777" w:rsidR="00A95A16" w:rsidRPr="00796AA0" w:rsidRDefault="00A95A16" w:rsidP="00A95A16">
            <w:pPr>
              <w:shd w:val="clear" w:color="auto" w:fill="FFFFFF"/>
              <w:spacing w:after="0" w:line="240" w:lineRule="auto"/>
              <w:ind w:left="131"/>
              <w:rPr>
                <w:rFonts w:ascii="Arial" w:eastAsia="Calibri" w:hAnsi="Arial" w:cs="Arial"/>
                <w:sz w:val="20"/>
                <w:szCs w:val="20"/>
              </w:rPr>
            </w:pPr>
          </w:p>
          <w:p w14:paraId="50026C08" w14:textId="77777777" w:rsidR="00A95A16" w:rsidRPr="00796AA0" w:rsidRDefault="00A95A16" w:rsidP="00A95A16">
            <w:pPr>
              <w:pStyle w:val="ListParagraph"/>
              <w:numPr>
                <w:ilvl w:val="0"/>
                <w:numId w:val="11"/>
              </w:numPr>
              <w:shd w:val="clear" w:color="auto" w:fill="FFFFFF"/>
              <w:spacing w:after="0" w:line="240" w:lineRule="auto"/>
              <w:rPr>
                <w:rFonts w:ascii="Arial" w:hAnsi="Arial" w:cs="Arial"/>
                <w:sz w:val="20"/>
                <w:szCs w:val="20"/>
                <w:lang w:val="en-US"/>
              </w:rPr>
            </w:pPr>
            <w:r w:rsidRPr="00796AA0">
              <w:rPr>
                <w:rFonts w:ascii="Arial" w:eastAsia="Calibri" w:hAnsi="Arial" w:cs="Arial"/>
                <w:sz w:val="20"/>
                <w:szCs w:val="20"/>
              </w:rPr>
              <w:t>Ensure the wide curriculum is spiral and allows pupils to know and remember more</w:t>
            </w:r>
          </w:p>
          <w:p w14:paraId="07F73EEF" w14:textId="77777777" w:rsidR="00A95A16" w:rsidRPr="00796AA0" w:rsidRDefault="00A95A16" w:rsidP="00A95A16">
            <w:pPr>
              <w:shd w:val="clear" w:color="auto" w:fill="FFFFFF"/>
              <w:spacing w:after="0" w:line="240" w:lineRule="auto"/>
              <w:rPr>
                <w:rFonts w:ascii="Arial" w:hAnsi="Arial" w:cs="Arial"/>
                <w:sz w:val="20"/>
                <w:szCs w:val="20"/>
                <w:lang w:val="en-US"/>
              </w:rPr>
            </w:pPr>
          </w:p>
          <w:p w14:paraId="33360A00" w14:textId="77777777" w:rsidR="00A95A16" w:rsidRPr="00796AA0" w:rsidRDefault="00A95A16" w:rsidP="00A95A16">
            <w:pPr>
              <w:pStyle w:val="ListParagraph"/>
              <w:numPr>
                <w:ilvl w:val="0"/>
                <w:numId w:val="9"/>
              </w:numPr>
              <w:shd w:val="clear" w:color="auto" w:fill="FFFFFF"/>
              <w:spacing w:after="0" w:line="240" w:lineRule="auto"/>
              <w:rPr>
                <w:rFonts w:ascii="Arial" w:hAnsi="Arial" w:cs="Arial"/>
                <w:sz w:val="20"/>
                <w:szCs w:val="20"/>
                <w:lang w:val="en-US"/>
              </w:rPr>
            </w:pPr>
            <w:r w:rsidRPr="00796AA0">
              <w:rPr>
                <w:rFonts w:ascii="Arial" w:hAnsi="Arial" w:cs="Arial"/>
                <w:sz w:val="20"/>
                <w:szCs w:val="20"/>
                <w:lang w:val="en-US"/>
              </w:rPr>
              <w:t xml:space="preserve">Prayer Trees and Worship Leaders </w:t>
            </w:r>
          </w:p>
        </w:tc>
        <w:tc>
          <w:tcPr>
            <w:tcW w:w="1417" w:type="dxa"/>
            <w:tcBorders>
              <w:top w:val="double" w:sz="4" w:space="0" w:color="000000"/>
              <w:left w:val="double" w:sz="4" w:space="0" w:color="000000"/>
              <w:bottom w:val="double" w:sz="4" w:space="0" w:color="000000"/>
              <w:right w:val="double" w:sz="4" w:space="0" w:color="auto"/>
            </w:tcBorders>
            <w:shd w:val="clear" w:color="auto" w:fill="FFFFFF"/>
            <w:tcMar>
              <w:top w:w="0" w:type="dxa"/>
              <w:left w:w="108" w:type="dxa"/>
              <w:bottom w:w="0" w:type="dxa"/>
              <w:right w:w="108" w:type="dxa"/>
            </w:tcMar>
          </w:tcPr>
          <w:p w14:paraId="3B2A7E2A" w14:textId="77777777" w:rsidR="00A95A16" w:rsidRPr="00796AA0" w:rsidRDefault="00A95A16" w:rsidP="00A95A16">
            <w:pPr>
              <w:spacing w:before="100" w:after="100"/>
              <w:jc w:val="center"/>
              <w:rPr>
                <w:rFonts w:ascii="Arial" w:hAnsi="Arial" w:cs="Arial"/>
                <w:sz w:val="20"/>
                <w:szCs w:val="20"/>
                <w:lang w:val="en-US"/>
              </w:rPr>
            </w:pPr>
          </w:p>
          <w:p w14:paraId="6836D4C4" w14:textId="77777777" w:rsidR="00A95A16" w:rsidRPr="00796AA0" w:rsidRDefault="00A95A16" w:rsidP="00A95A16">
            <w:pPr>
              <w:spacing w:before="100" w:after="100"/>
              <w:jc w:val="center"/>
              <w:rPr>
                <w:rFonts w:ascii="Arial" w:hAnsi="Arial" w:cs="Arial"/>
                <w:sz w:val="20"/>
                <w:szCs w:val="20"/>
                <w:lang w:val="en-US"/>
              </w:rPr>
            </w:pPr>
          </w:p>
        </w:tc>
        <w:tc>
          <w:tcPr>
            <w:tcW w:w="1622" w:type="dxa"/>
            <w:tcBorders>
              <w:top w:val="double" w:sz="4" w:space="0" w:color="000000"/>
              <w:left w:val="double" w:sz="4" w:space="0" w:color="auto"/>
              <w:bottom w:val="double" w:sz="4" w:space="0" w:color="000000"/>
              <w:right w:val="double" w:sz="4" w:space="0" w:color="000000"/>
            </w:tcBorders>
            <w:shd w:val="clear" w:color="auto" w:fill="FFFFFF"/>
            <w:tcMar>
              <w:top w:w="0" w:type="dxa"/>
              <w:left w:w="108" w:type="dxa"/>
              <w:bottom w:w="0" w:type="dxa"/>
              <w:right w:w="108" w:type="dxa"/>
            </w:tcMar>
          </w:tcPr>
          <w:p w14:paraId="1A8D564C" w14:textId="77777777" w:rsidR="00A95A16" w:rsidRPr="00796AA0" w:rsidRDefault="00A95A16" w:rsidP="00A95A16">
            <w:pPr>
              <w:spacing w:before="100" w:after="100"/>
              <w:jc w:val="center"/>
              <w:rPr>
                <w:rFonts w:ascii="Arial" w:hAnsi="Arial" w:cs="Arial"/>
                <w:sz w:val="20"/>
                <w:szCs w:val="20"/>
                <w:lang w:val="en-US"/>
              </w:rPr>
            </w:pPr>
          </w:p>
        </w:tc>
        <w:tc>
          <w:tcPr>
            <w:tcW w:w="3401"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3B345516" w14:textId="77777777" w:rsidR="00A95A16" w:rsidRPr="00796AA0" w:rsidRDefault="00A95A16" w:rsidP="00A95A16">
            <w:pPr>
              <w:spacing w:after="0" w:line="240" w:lineRule="auto"/>
              <w:rPr>
                <w:rFonts w:ascii="Arial" w:eastAsia="Times New Roman" w:hAnsi="Arial" w:cs="Arial"/>
                <w:b/>
                <w:sz w:val="20"/>
                <w:szCs w:val="20"/>
                <w:lang w:eastAsia="en-GB"/>
              </w:rPr>
            </w:pPr>
          </w:p>
          <w:p w14:paraId="61B0FEAA" w14:textId="77777777" w:rsidR="00A95A16" w:rsidRPr="00796AA0" w:rsidRDefault="00A95A16" w:rsidP="00A95A16">
            <w:pPr>
              <w:spacing w:after="0" w:line="240" w:lineRule="auto"/>
              <w:rPr>
                <w:rFonts w:ascii="Arial" w:eastAsia="Times New Roman" w:hAnsi="Arial" w:cs="Arial"/>
                <w:b/>
                <w:sz w:val="20"/>
                <w:szCs w:val="20"/>
                <w:lang w:eastAsia="en-GB"/>
              </w:rPr>
            </w:pPr>
          </w:p>
          <w:p w14:paraId="5E269925" w14:textId="77777777" w:rsidR="00A95A16" w:rsidRPr="00796AA0" w:rsidRDefault="00A95A16" w:rsidP="00A95A16">
            <w:pPr>
              <w:spacing w:after="0" w:line="240" w:lineRule="auto"/>
              <w:rPr>
                <w:rFonts w:ascii="Arial" w:eastAsia="Times New Roman" w:hAnsi="Arial" w:cs="Arial"/>
                <w:b/>
                <w:sz w:val="20"/>
                <w:szCs w:val="20"/>
                <w:lang w:eastAsia="en-GB"/>
              </w:rPr>
            </w:pPr>
          </w:p>
          <w:p w14:paraId="09CE1509" w14:textId="77777777" w:rsidR="00A95A16" w:rsidRPr="00796AA0" w:rsidRDefault="00A95A16" w:rsidP="00A95A16">
            <w:pPr>
              <w:spacing w:after="0" w:line="240" w:lineRule="auto"/>
              <w:rPr>
                <w:rFonts w:ascii="Arial" w:eastAsia="Times New Roman" w:hAnsi="Arial" w:cs="Arial"/>
                <w:b/>
                <w:sz w:val="20"/>
                <w:szCs w:val="20"/>
                <w:lang w:eastAsia="en-GB"/>
              </w:rPr>
            </w:pPr>
          </w:p>
          <w:p w14:paraId="42099FA9" w14:textId="77777777" w:rsidR="00A95A16" w:rsidRPr="00796AA0" w:rsidRDefault="00A95A16" w:rsidP="00A95A16">
            <w:pPr>
              <w:spacing w:after="0" w:line="240" w:lineRule="auto"/>
              <w:rPr>
                <w:rFonts w:ascii="Arial" w:eastAsia="Times New Roman" w:hAnsi="Arial" w:cs="Arial"/>
                <w:b/>
                <w:sz w:val="20"/>
                <w:szCs w:val="20"/>
                <w:lang w:eastAsia="en-GB"/>
              </w:rPr>
            </w:pPr>
          </w:p>
          <w:p w14:paraId="063EE260" w14:textId="77777777" w:rsidR="00A95A16" w:rsidRPr="00796AA0" w:rsidRDefault="00A95A16" w:rsidP="00A95A16">
            <w:pPr>
              <w:spacing w:after="0" w:line="240" w:lineRule="auto"/>
              <w:rPr>
                <w:rFonts w:ascii="Arial" w:eastAsia="Times New Roman" w:hAnsi="Arial" w:cs="Arial"/>
                <w:b/>
                <w:sz w:val="20"/>
                <w:szCs w:val="20"/>
                <w:lang w:eastAsia="en-GB"/>
              </w:rPr>
            </w:pPr>
          </w:p>
          <w:p w14:paraId="357F3765" w14:textId="77777777" w:rsidR="00A95A16" w:rsidRPr="00796AA0" w:rsidRDefault="00A95A16" w:rsidP="00A95A16">
            <w:pPr>
              <w:spacing w:after="0" w:line="240" w:lineRule="auto"/>
              <w:rPr>
                <w:rFonts w:ascii="Arial" w:eastAsia="Times New Roman" w:hAnsi="Arial" w:cs="Arial"/>
                <w:b/>
                <w:sz w:val="20"/>
                <w:szCs w:val="20"/>
                <w:lang w:eastAsia="en-GB"/>
              </w:rPr>
            </w:pPr>
          </w:p>
          <w:p w14:paraId="6C7CF235" w14:textId="77777777" w:rsidR="00A95A16" w:rsidRPr="00796AA0" w:rsidRDefault="00A95A16" w:rsidP="00A95A16">
            <w:pPr>
              <w:spacing w:after="0" w:line="240" w:lineRule="auto"/>
              <w:rPr>
                <w:rFonts w:ascii="Arial" w:eastAsia="Times New Roman" w:hAnsi="Arial" w:cs="Arial"/>
                <w:b/>
                <w:sz w:val="20"/>
                <w:szCs w:val="20"/>
                <w:lang w:eastAsia="en-GB"/>
              </w:rPr>
            </w:pPr>
          </w:p>
          <w:p w14:paraId="1064D743" w14:textId="77777777" w:rsidR="00A95A16" w:rsidRPr="00796AA0" w:rsidRDefault="00A95A16" w:rsidP="00A95A16">
            <w:pPr>
              <w:spacing w:after="0" w:line="240" w:lineRule="auto"/>
              <w:rPr>
                <w:rFonts w:ascii="Arial" w:eastAsia="Times New Roman" w:hAnsi="Arial" w:cs="Arial"/>
                <w:b/>
                <w:sz w:val="20"/>
                <w:szCs w:val="20"/>
                <w:lang w:eastAsia="en-GB"/>
              </w:rPr>
            </w:pPr>
          </w:p>
          <w:p w14:paraId="07A2F07F" w14:textId="77777777" w:rsidR="00A95A16" w:rsidRPr="00796AA0" w:rsidRDefault="00A95A16" w:rsidP="00A95A16">
            <w:pPr>
              <w:spacing w:after="0" w:line="240" w:lineRule="auto"/>
              <w:rPr>
                <w:rFonts w:ascii="Arial" w:eastAsia="Times New Roman" w:hAnsi="Arial" w:cs="Arial"/>
                <w:b/>
                <w:sz w:val="20"/>
                <w:szCs w:val="20"/>
                <w:lang w:eastAsia="en-GB"/>
              </w:rPr>
            </w:pPr>
          </w:p>
          <w:p w14:paraId="10F0F2BC" w14:textId="77777777" w:rsidR="00A95A16" w:rsidRPr="00796AA0" w:rsidRDefault="00A95A16" w:rsidP="00A95A16">
            <w:pPr>
              <w:spacing w:after="0" w:line="240" w:lineRule="auto"/>
              <w:rPr>
                <w:rFonts w:ascii="Arial" w:eastAsia="Times New Roman" w:hAnsi="Arial" w:cs="Arial"/>
                <w:b/>
                <w:sz w:val="20"/>
                <w:szCs w:val="20"/>
                <w:lang w:eastAsia="en-GB"/>
              </w:rPr>
            </w:pPr>
          </w:p>
          <w:p w14:paraId="069CCB6D" w14:textId="77777777" w:rsidR="00A95A16" w:rsidRPr="00796AA0" w:rsidRDefault="00A95A16" w:rsidP="00A95A16">
            <w:pPr>
              <w:spacing w:after="0" w:line="240" w:lineRule="auto"/>
              <w:rPr>
                <w:rFonts w:ascii="Arial" w:eastAsia="Times New Roman" w:hAnsi="Arial" w:cs="Arial"/>
                <w:b/>
                <w:sz w:val="20"/>
                <w:szCs w:val="20"/>
                <w:lang w:eastAsia="en-GB"/>
              </w:rPr>
            </w:pPr>
          </w:p>
          <w:p w14:paraId="4834BFC2" w14:textId="77777777" w:rsidR="00A95A16" w:rsidRPr="00796AA0" w:rsidRDefault="00A95A16" w:rsidP="00A95A16">
            <w:pPr>
              <w:spacing w:after="0" w:line="240" w:lineRule="auto"/>
              <w:rPr>
                <w:rFonts w:ascii="Arial" w:eastAsia="Times New Roman" w:hAnsi="Arial" w:cs="Arial"/>
                <w:b/>
                <w:sz w:val="20"/>
                <w:szCs w:val="20"/>
                <w:lang w:eastAsia="en-GB"/>
              </w:rPr>
            </w:pPr>
          </w:p>
          <w:p w14:paraId="2AAD40EE" w14:textId="77777777" w:rsidR="00A95A16" w:rsidRPr="00796AA0" w:rsidRDefault="00A95A16" w:rsidP="00A95A16">
            <w:pPr>
              <w:spacing w:after="0" w:line="240" w:lineRule="auto"/>
              <w:rPr>
                <w:rFonts w:ascii="Arial" w:eastAsia="Times New Roman" w:hAnsi="Arial" w:cs="Arial"/>
                <w:b/>
                <w:sz w:val="20"/>
                <w:szCs w:val="20"/>
                <w:lang w:eastAsia="en-GB"/>
              </w:rPr>
            </w:pPr>
          </w:p>
          <w:p w14:paraId="53A0C0ED" w14:textId="77777777" w:rsidR="00A95A16" w:rsidRPr="00796AA0" w:rsidRDefault="00A95A16" w:rsidP="00A95A16">
            <w:pPr>
              <w:spacing w:after="0" w:line="240" w:lineRule="auto"/>
              <w:rPr>
                <w:rFonts w:ascii="Arial" w:eastAsia="Times New Roman" w:hAnsi="Arial" w:cs="Arial"/>
                <w:b/>
                <w:sz w:val="20"/>
                <w:szCs w:val="20"/>
                <w:lang w:eastAsia="en-GB"/>
              </w:rPr>
            </w:pPr>
          </w:p>
          <w:p w14:paraId="59163577" w14:textId="77777777" w:rsidR="00A95A16" w:rsidRPr="00796AA0" w:rsidRDefault="00A95A16" w:rsidP="00A95A16">
            <w:pPr>
              <w:spacing w:after="0" w:line="240" w:lineRule="auto"/>
              <w:rPr>
                <w:rFonts w:ascii="Arial" w:eastAsia="Times New Roman" w:hAnsi="Arial" w:cs="Arial"/>
                <w:b/>
                <w:sz w:val="20"/>
                <w:szCs w:val="20"/>
                <w:lang w:eastAsia="en-GB"/>
              </w:rPr>
            </w:pPr>
          </w:p>
          <w:p w14:paraId="440DE940" w14:textId="77777777" w:rsidR="00A95A16" w:rsidRPr="00796AA0" w:rsidRDefault="00A95A16" w:rsidP="00A95A16">
            <w:pPr>
              <w:spacing w:after="0" w:line="240" w:lineRule="auto"/>
              <w:rPr>
                <w:rFonts w:ascii="Arial" w:eastAsia="Times New Roman" w:hAnsi="Arial" w:cs="Arial"/>
                <w:b/>
                <w:sz w:val="20"/>
                <w:szCs w:val="20"/>
                <w:lang w:eastAsia="en-GB"/>
              </w:rPr>
            </w:pPr>
          </w:p>
          <w:p w14:paraId="64BA1FFA" w14:textId="77777777" w:rsidR="00A95A16" w:rsidRPr="00796AA0" w:rsidRDefault="00A95A16" w:rsidP="00A95A16">
            <w:pPr>
              <w:spacing w:after="0" w:line="240" w:lineRule="auto"/>
              <w:rPr>
                <w:rFonts w:ascii="Arial" w:eastAsia="Times New Roman" w:hAnsi="Arial" w:cs="Arial"/>
                <w:sz w:val="20"/>
                <w:szCs w:val="20"/>
                <w:lang w:eastAsia="en-GB"/>
              </w:rPr>
            </w:pPr>
          </w:p>
        </w:tc>
      </w:tr>
      <w:tr w:rsidR="00A95A16" w:rsidRPr="00800692" w14:paraId="4E9F21E3" w14:textId="77777777" w:rsidTr="00CB36B2">
        <w:trPr>
          <w:trHeight w:val="3373"/>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18B67981" w14:textId="77777777" w:rsidR="00A95A16" w:rsidRDefault="00A95A16" w:rsidP="00A95A16">
            <w:pPr>
              <w:pStyle w:val="NoSpacing"/>
              <w:textAlignment w:val="auto"/>
              <w:rPr>
                <w:rFonts w:ascii="Arial" w:eastAsia="Times New Roman" w:hAnsi="Arial" w:cs="Arial"/>
                <w:b/>
                <w:sz w:val="24"/>
                <w:szCs w:val="24"/>
                <w:lang w:val="en-US" w:eastAsia="en-GB"/>
              </w:rPr>
            </w:pPr>
            <w:r>
              <w:rPr>
                <w:rFonts w:ascii="Arial" w:eastAsia="Times New Roman" w:hAnsi="Arial" w:cs="Arial"/>
                <w:b/>
                <w:sz w:val="24"/>
                <w:szCs w:val="24"/>
                <w:lang w:val="en-US" w:eastAsia="en-GB"/>
              </w:rPr>
              <w:t>Leadership and Management</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2B5FFCD1" w14:textId="77777777" w:rsidR="00A95A16" w:rsidRPr="00796AA0" w:rsidRDefault="00A95A16" w:rsidP="00A95A16">
            <w:pPr>
              <w:pStyle w:val="NoSpacing"/>
              <w:numPr>
                <w:ilvl w:val="0"/>
                <w:numId w:val="11"/>
              </w:numPr>
              <w:suppressAutoHyphens w:val="0"/>
              <w:autoSpaceDN/>
              <w:textAlignment w:val="auto"/>
              <w:rPr>
                <w:rFonts w:ascii="Arial" w:hAnsi="Arial" w:cs="Arial"/>
                <w:bCs/>
                <w:sz w:val="20"/>
                <w:szCs w:val="20"/>
              </w:rPr>
            </w:pPr>
            <w:r w:rsidRPr="00796AA0">
              <w:rPr>
                <w:rFonts w:ascii="Arial" w:hAnsi="Arial" w:cs="Arial"/>
                <w:bCs/>
                <w:sz w:val="20"/>
                <w:szCs w:val="20"/>
              </w:rPr>
              <w:t>Leadership at all levels to have a clear understanding of which learning has been lost and which needs to be recovered and by what method.</w:t>
            </w:r>
          </w:p>
          <w:p w14:paraId="1C72A52F" w14:textId="77777777" w:rsidR="00A95A16" w:rsidRPr="00796AA0" w:rsidRDefault="00A95A16" w:rsidP="00A95A16">
            <w:pPr>
              <w:pStyle w:val="ListParagraph"/>
              <w:numPr>
                <w:ilvl w:val="0"/>
                <w:numId w:val="11"/>
              </w:numPr>
              <w:shd w:val="clear" w:color="auto" w:fill="FFFFFF"/>
              <w:spacing w:after="0" w:line="240" w:lineRule="auto"/>
              <w:rPr>
                <w:rFonts w:ascii="Arial" w:hAnsi="Arial" w:cs="Arial"/>
                <w:sz w:val="20"/>
                <w:szCs w:val="20"/>
                <w:lang w:val="en-US"/>
              </w:rPr>
            </w:pPr>
            <w:r w:rsidRPr="00796AA0">
              <w:rPr>
                <w:rFonts w:ascii="Arial" w:hAnsi="Arial" w:cs="Arial"/>
                <w:bCs/>
                <w:sz w:val="20"/>
                <w:szCs w:val="20"/>
              </w:rPr>
              <w:t>Empower all subject leaders to monitor standards in their subject, including to monitor the impact of the recovery plan for the curriculum.</w:t>
            </w:r>
          </w:p>
        </w:tc>
        <w:tc>
          <w:tcPr>
            <w:tcW w:w="1417" w:type="dxa"/>
            <w:tcBorders>
              <w:top w:val="double" w:sz="4" w:space="0" w:color="000000"/>
              <w:left w:val="double" w:sz="4" w:space="0" w:color="000000"/>
              <w:bottom w:val="double" w:sz="4" w:space="0" w:color="000000"/>
              <w:right w:val="double" w:sz="4" w:space="0" w:color="auto"/>
            </w:tcBorders>
            <w:shd w:val="clear" w:color="auto" w:fill="FFFFFF"/>
            <w:tcMar>
              <w:top w:w="0" w:type="dxa"/>
              <w:left w:w="108" w:type="dxa"/>
              <w:bottom w:w="0" w:type="dxa"/>
              <w:right w:w="108" w:type="dxa"/>
            </w:tcMar>
          </w:tcPr>
          <w:p w14:paraId="7537CBF2" w14:textId="77777777" w:rsidR="00A95A16" w:rsidRPr="00796AA0" w:rsidRDefault="00A95A16" w:rsidP="00A95A16">
            <w:pPr>
              <w:spacing w:before="100" w:after="100"/>
              <w:jc w:val="center"/>
              <w:rPr>
                <w:rFonts w:ascii="Arial" w:hAnsi="Arial" w:cs="Arial"/>
                <w:sz w:val="20"/>
                <w:szCs w:val="20"/>
                <w:lang w:val="en-US"/>
              </w:rPr>
            </w:pPr>
            <w:r w:rsidRPr="00796AA0">
              <w:rPr>
                <w:rFonts w:ascii="Arial" w:hAnsi="Arial" w:cs="Arial"/>
                <w:sz w:val="20"/>
                <w:szCs w:val="20"/>
                <w:lang w:val="en-US"/>
              </w:rPr>
              <w:t>SLT</w:t>
            </w:r>
          </w:p>
          <w:p w14:paraId="7897F4E0" w14:textId="77777777" w:rsidR="00A95A16" w:rsidRPr="00796AA0" w:rsidRDefault="00A95A16" w:rsidP="00A95A16">
            <w:pPr>
              <w:spacing w:before="100" w:after="100"/>
              <w:jc w:val="center"/>
              <w:rPr>
                <w:rFonts w:ascii="Arial" w:hAnsi="Arial" w:cs="Arial"/>
                <w:sz w:val="20"/>
                <w:szCs w:val="20"/>
                <w:lang w:val="en-US"/>
              </w:rPr>
            </w:pPr>
          </w:p>
          <w:p w14:paraId="789A4037" w14:textId="77777777" w:rsidR="00A95A16" w:rsidRPr="00796AA0" w:rsidRDefault="00A95A16" w:rsidP="00A95A16">
            <w:pPr>
              <w:spacing w:before="100" w:after="100"/>
              <w:jc w:val="center"/>
              <w:rPr>
                <w:rFonts w:ascii="Arial" w:hAnsi="Arial" w:cs="Arial"/>
                <w:sz w:val="20"/>
                <w:szCs w:val="20"/>
                <w:lang w:val="en-US"/>
              </w:rPr>
            </w:pPr>
          </w:p>
          <w:p w14:paraId="509E6E26" w14:textId="77777777" w:rsidR="00A95A16" w:rsidRPr="00796AA0" w:rsidRDefault="00A95A16" w:rsidP="00A95A16">
            <w:pPr>
              <w:spacing w:before="100" w:after="100"/>
              <w:jc w:val="center"/>
              <w:rPr>
                <w:rFonts w:ascii="Arial" w:hAnsi="Arial" w:cs="Arial"/>
                <w:sz w:val="20"/>
                <w:szCs w:val="20"/>
                <w:lang w:val="en-US"/>
              </w:rPr>
            </w:pPr>
            <w:r w:rsidRPr="00796AA0">
              <w:rPr>
                <w:rFonts w:ascii="Arial" w:hAnsi="Arial" w:cs="Arial"/>
                <w:sz w:val="20"/>
                <w:szCs w:val="20"/>
                <w:lang w:val="en-US"/>
              </w:rPr>
              <w:t>Subject Leaders</w:t>
            </w:r>
          </w:p>
          <w:p w14:paraId="68F47E7F" w14:textId="77777777" w:rsidR="00A95A16" w:rsidRPr="00796AA0" w:rsidRDefault="00A95A16" w:rsidP="00EA21A2">
            <w:pPr>
              <w:spacing w:before="100" w:after="100"/>
              <w:rPr>
                <w:rFonts w:ascii="Arial" w:hAnsi="Arial" w:cs="Arial"/>
                <w:sz w:val="20"/>
                <w:szCs w:val="20"/>
                <w:lang w:val="en-US"/>
              </w:rPr>
            </w:pPr>
          </w:p>
        </w:tc>
        <w:tc>
          <w:tcPr>
            <w:tcW w:w="1622" w:type="dxa"/>
            <w:tcBorders>
              <w:top w:val="double" w:sz="4" w:space="0" w:color="000000"/>
              <w:left w:val="double" w:sz="4" w:space="0" w:color="auto"/>
              <w:bottom w:val="double" w:sz="4" w:space="0" w:color="000000"/>
              <w:right w:val="double" w:sz="4" w:space="0" w:color="000000"/>
            </w:tcBorders>
            <w:shd w:val="clear" w:color="auto" w:fill="FFFFFF"/>
            <w:tcMar>
              <w:top w:w="0" w:type="dxa"/>
              <w:left w:w="108" w:type="dxa"/>
              <w:bottom w:w="0" w:type="dxa"/>
              <w:right w:w="108" w:type="dxa"/>
            </w:tcMar>
          </w:tcPr>
          <w:p w14:paraId="06A5AE0C" w14:textId="77777777" w:rsidR="00A95A16" w:rsidRPr="00796AA0" w:rsidRDefault="00A95A16" w:rsidP="00EA21A2">
            <w:pPr>
              <w:spacing w:before="100" w:after="100"/>
              <w:rPr>
                <w:rFonts w:ascii="Arial" w:hAnsi="Arial" w:cs="Arial"/>
                <w:sz w:val="20"/>
                <w:szCs w:val="20"/>
                <w:lang w:val="en-US"/>
              </w:rPr>
            </w:pPr>
          </w:p>
        </w:tc>
        <w:tc>
          <w:tcPr>
            <w:tcW w:w="3401"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1D12C905" w14:textId="77777777" w:rsidR="00A95A16" w:rsidRPr="00796AA0" w:rsidRDefault="00A95A16" w:rsidP="00A95A16">
            <w:pPr>
              <w:spacing w:after="0" w:line="240" w:lineRule="auto"/>
              <w:rPr>
                <w:rFonts w:ascii="Arial" w:eastAsia="Times New Roman" w:hAnsi="Arial" w:cs="Arial"/>
                <w:b/>
                <w:sz w:val="20"/>
                <w:szCs w:val="20"/>
                <w:lang w:eastAsia="en-GB"/>
              </w:rPr>
            </w:pPr>
          </w:p>
          <w:p w14:paraId="74B6834E" w14:textId="77777777" w:rsidR="00A95A16" w:rsidRPr="00796AA0" w:rsidRDefault="00A95A16" w:rsidP="00A95A16">
            <w:pPr>
              <w:spacing w:after="0" w:line="240" w:lineRule="auto"/>
              <w:rPr>
                <w:rFonts w:ascii="Arial" w:eastAsia="Times New Roman" w:hAnsi="Arial" w:cs="Arial"/>
                <w:b/>
                <w:sz w:val="20"/>
                <w:szCs w:val="20"/>
                <w:lang w:eastAsia="en-GB"/>
              </w:rPr>
            </w:pPr>
          </w:p>
          <w:p w14:paraId="18D833E9" w14:textId="77777777" w:rsidR="00A95A16" w:rsidRPr="00796AA0" w:rsidRDefault="00A95A16" w:rsidP="00A95A16">
            <w:pPr>
              <w:spacing w:after="0" w:line="240" w:lineRule="auto"/>
              <w:rPr>
                <w:rFonts w:ascii="Arial" w:eastAsia="Times New Roman" w:hAnsi="Arial" w:cs="Arial"/>
                <w:b/>
                <w:sz w:val="20"/>
                <w:szCs w:val="20"/>
                <w:lang w:eastAsia="en-GB"/>
              </w:rPr>
            </w:pPr>
          </w:p>
          <w:p w14:paraId="4734C610" w14:textId="77777777" w:rsidR="00A95A16" w:rsidRPr="00796AA0" w:rsidRDefault="00A95A16" w:rsidP="00A95A16">
            <w:pPr>
              <w:spacing w:after="0" w:line="240" w:lineRule="auto"/>
              <w:rPr>
                <w:rFonts w:ascii="Arial" w:eastAsia="Times New Roman" w:hAnsi="Arial" w:cs="Arial"/>
                <w:b/>
                <w:sz w:val="20"/>
                <w:szCs w:val="20"/>
                <w:lang w:eastAsia="en-GB"/>
              </w:rPr>
            </w:pPr>
          </w:p>
        </w:tc>
      </w:tr>
      <w:tr w:rsidR="00EA21A2" w:rsidRPr="00800692" w14:paraId="6E6E872F" w14:textId="77777777" w:rsidTr="00CB36B2">
        <w:trPr>
          <w:trHeight w:val="3373"/>
          <w:jc w:val="center"/>
        </w:trPr>
        <w:tc>
          <w:tcPr>
            <w:tcW w:w="3238" w:type="dxa"/>
            <w:tcBorders>
              <w:top w:val="double" w:sz="4" w:space="0" w:color="000000"/>
              <w:left w:val="double" w:sz="4" w:space="0" w:color="000000"/>
              <w:bottom w:val="double" w:sz="4" w:space="0" w:color="000000"/>
              <w:right w:val="double" w:sz="4" w:space="0" w:color="000000"/>
            </w:tcBorders>
            <w:shd w:val="clear" w:color="auto" w:fill="B6DDE8" w:themeFill="accent5" w:themeFillTint="66"/>
            <w:tcMar>
              <w:top w:w="0" w:type="dxa"/>
              <w:left w:w="108" w:type="dxa"/>
              <w:bottom w:w="0" w:type="dxa"/>
              <w:right w:w="108" w:type="dxa"/>
            </w:tcMar>
          </w:tcPr>
          <w:p w14:paraId="745D50AE" w14:textId="643A7400" w:rsidR="00EA21A2" w:rsidRDefault="009C4E62" w:rsidP="00A95A16">
            <w:pPr>
              <w:pStyle w:val="NoSpacing"/>
              <w:textAlignment w:val="auto"/>
              <w:rPr>
                <w:rFonts w:ascii="Arial" w:eastAsia="Times New Roman" w:hAnsi="Arial" w:cs="Arial"/>
                <w:b/>
                <w:sz w:val="24"/>
                <w:szCs w:val="24"/>
                <w:lang w:val="en-US" w:eastAsia="en-GB"/>
              </w:rPr>
            </w:pPr>
            <w:r>
              <w:rPr>
                <w:rFonts w:ascii="Arial" w:eastAsia="Times New Roman" w:hAnsi="Arial" w:cs="Arial"/>
                <w:b/>
                <w:sz w:val="24"/>
                <w:szCs w:val="24"/>
                <w:lang w:val="en-US" w:eastAsia="en-GB"/>
              </w:rPr>
              <w:lastRenderedPageBreak/>
              <w:t>Total</w:t>
            </w:r>
          </w:p>
        </w:tc>
        <w:tc>
          <w:tcPr>
            <w:tcW w:w="4961" w:type="dxa"/>
            <w:tcBorders>
              <w:top w:val="double" w:sz="4" w:space="0" w:color="000000"/>
              <w:left w:val="double" w:sz="4" w:space="0" w:color="000000"/>
              <w:bottom w:val="double" w:sz="4" w:space="0" w:color="000000"/>
              <w:right w:val="double" w:sz="4" w:space="0" w:color="000000"/>
            </w:tcBorders>
            <w:shd w:val="clear" w:color="auto" w:fill="FFFFFF"/>
          </w:tcPr>
          <w:p w14:paraId="2560206E" w14:textId="43C2A338" w:rsidR="001A6401" w:rsidRPr="00796AA0" w:rsidRDefault="001A6401" w:rsidP="001A6401">
            <w:pPr>
              <w:rPr>
                <w:rFonts w:ascii="Arial" w:hAnsi="Arial" w:cs="Arial"/>
                <w:sz w:val="20"/>
                <w:szCs w:val="20"/>
                <w:lang w:val="en-US"/>
              </w:rPr>
            </w:pPr>
            <w:r w:rsidRPr="00796AA0">
              <w:rPr>
                <w:rFonts w:ascii="Arial" w:hAnsi="Arial" w:cs="Arial"/>
                <w:sz w:val="20"/>
                <w:szCs w:val="20"/>
                <w:lang w:val="en-US"/>
              </w:rPr>
              <w:t>Remaining for the summer term will be:</w:t>
            </w:r>
          </w:p>
          <w:p w14:paraId="3AED16FA" w14:textId="73C8E610" w:rsidR="00EA21A2" w:rsidRPr="00796AA0" w:rsidRDefault="001A6401" w:rsidP="001A6401">
            <w:pPr>
              <w:pStyle w:val="NoSpacing"/>
              <w:suppressAutoHyphens w:val="0"/>
              <w:autoSpaceDN/>
              <w:textAlignment w:val="auto"/>
              <w:rPr>
                <w:rFonts w:ascii="Arial" w:hAnsi="Arial" w:cs="Arial"/>
                <w:bCs/>
                <w:sz w:val="20"/>
                <w:szCs w:val="20"/>
              </w:rPr>
            </w:pPr>
            <w:r w:rsidRPr="00796AA0">
              <w:rPr>
                <w:rFonts w:ascii="Arial" w:hAnsi="Arial" w:cs="Arial"/>
                <w:sz w:val="20"/>
                <w:szCs w:val="20"/>
                <w:lang w:val="en-US"/>
              </w:rPr>
              <w:t>Before and after school catch up for Y5</w:t>
            </w:r>
          </w:p>
        </w:tc>
        <w:tc>
          <w:tcPr>
            <w:tcW w:w="1417" w:type="dxa"/>
            <w:tcBorders>
              <w:top w:val="double" w:sz="4" w:space="0" w:color="000000"/>
              <w:left w:val="double" w:sz="4" w:space="0" w:color="000000"/>
              <w:bottom w:val="double" w:sz="4" w:space="0" w:color="000000"/>
              <w:right w:val="double" w:sz="4" w:space="0" w:color="auto"/>
            </w:tcBorders>
            <w:shd w:val="clear" w:color="auto" w:fill="FFFFFF"/>
            <w:tcMar>
              <w:top w:w="0" w:type="dxa"/>
              <w:left w:w="108" w:type="dxa"/>
              <w:bottom w:w="0" w:type="dxa"/>
              <w:right w:w="108" w:type="dxa"/>
            </w:tcMar>
          </w:tcPr>
          <w:p w14:paraId="349740B9" w14:textId="77777777" w:rsidR="00EA21A2" w:rsidRPr="00796AA0" w:rsidRDefault="00EA21A2" w:rsidP="00A95A16">
            <w:pPr>
              <w:spacing w:before="100" w:after="100"/>
              <w:jc w:val="center"/>
              <w:rPr>
                <w:rFonts w:ascii="Arial" w:hAnsi="Arial" w:cs="Arial"/>
                <w:sz w:val="20"/>
                <w:szCs w:val="20"/>
                <w:lang w:val="en-US"/>
              </w:rPr>
            </w:pPr>
          </w:p>
        </w:tc>
        <w:tc>
          <w:tcPr>
            <w:tcW w:w="1622" w:type="dxa"/>
            <w:tcBorders>
              <w:top w:val="double" w:sz="4" w:space="0" w:color="000000"/>
              <w:left w:val="double" w:sz="4" w:space="0" w:color="auto"/>
              <w:bottom w:val="double" w:sz="4" w:space="0" w:color="000000"/>
              <w:right w:val="double" w:sz="4" w:space="0" w:color="000000"/>
            </w:tcBorders>
            <w:shd w:val="clear" w:color="auto" w:fill="FFFFFF"/>
            <w:tcMar>
              <w:top w:w="0" w:type="dxa"/>
              <w:left w:w="108" w:type="dxa"/>
              <w:bottom w:w="0" w:type="dxa"/>
              <w:right w:w="108" w:type="dxa"/>
            </w:tcMar>
          </w:tcPr>
          <w:p w14:paraId="299AD31F" w14:textId="77777777" w:rsidR="00EA21A2" w:rsidRPr="00796AA0" w:rsidRDefault="00EA21A2" w:rsidP="00A95A16">
            <w:pPr>
              <w:spacing w:before="100" w:after="100"/>
              <w:jc w:val="center"/>
              <w:rPr>
                <w:rFonts w:ascii="Arial" w:hAnsi="Arial" w:cs="Arial"/>
                <w:sz w:val="20"/>
                <w:szCs w:val="20"/>
                <w:lang w:val="en-US"/>
              </w:rPr>
            </w:pPr>
          </w:p>
        </w:tc>
        <w:tc>
          <w:tcPr>
            <w:tcW w:w="3401"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tcPr>
          <w:p w14:paraId="2CA55C24" w14:textId="573D0C83" w:rsidR="00EA21A2" w:rsidRPr="00796AA0" w:rsidRDefault="00EA21A2" w:rsidP="00EA21A2">
            <w:pPr>
              <w:jc w:val="center"/>
              <w:rPr>
                <w:rFonts w:ascii="Arial" w:hAnsi="Arial" w:cs="Arial"/>
                <w:sz w:val="20"/>
                <w:szCs w:val="20"/>
                <w:lang w:val="en-US"/>
              </w:rPr>
            </w:pPr>
            <w:r w:rsidRPr="00796AA0">
              <w:rPr>
                <w:rFonts w:ascii="Arial" w:hAnsi="Arial" w:cs="Arial"/>
                <w:sz w:val="20"/>
                <w:szCs w:val="20"/>
                <w:lang w:val="en-US"/>
              </w:rPr>
              <w:t>Allocated £14,289 in Autumn term</w:t>
            </w:r>
          </w:p>
          <w:p w14:paraId="68E057EB" w14:textId="5E9CFF70" w:rsidR="00EA21A2" w:rsidRPr="00796AA0" w:rsidRDefault="00EA21A2" w:rsidP="00EA21A2">
            <w:pPr>
              <w:jc w:val="center"/>
              <w:rPr>
                <w:rFonts w:ascii="Arial" w:hAnsi="Arial" w:cs="Arial"/>
                <w:sz w:val="20"/>
                <w:szCs w:val="20"/>
                <w:lang w:val="en-US"/>
              </w:rPr>
            </w:pPr>
            <w:r w:rsidRPr="00796AA0">
              <w:rPr>
                <w:rFonts w:ascii="Arial" w:hAnsi="Arial" w:cs="Arial"/>
                <w:sz w:val="20"/>
                <w:szCs w:val="20"/>
                <w:lang w:val="en-US"/>
              </w:rPr>
              <w:t>Total allocation - £17,040</w:t>
            </w:r>
          </w:p>
          <w:p w14:paraId="0199B654" w14:textId="58953EAA" w:rsidR="00EA21A2" w:rsidRPr="00796AA0" w:rsidRDefault="00EA21A2" w:rsidP="00EA21A2">
            <w:pPr>
              <w:jc w:val="center"/>
              <w:rPr>
                <w:rFonts w:ascii="Arial" w:hAnsi="Arial" w:cs="Arial"/>
                <w:color w:val="0070C0"/>
                <w:sz w:val="20"/>
                <w:szCs w:val="20"/>
                <w:lang w:val="en-US"/>
              </w:rPr>
            </w:pPr>
            <w:r w:rsidRPr="00796AA0">
              <w:rPr>
                <w:rFonts w:ascii="Arial" w:hAnsi="Arial" w:cs="Arial"/>
                <w:color w:val="0070C0"/>
                <w:sz w:val="20"/>
                <w:szCs w:val="20"/>
                <w:lang w:val="en-US"/>
              </w:rPr>
              <w:t>Under allocated and added to March money = £2,751.00</w:t>
            </w:r>
          </w:p>
          <w:p w14:paraId="7091F578" w14:textId="5F551992" w:rsidR="00EA21A2" w:rsidRPr="00796AA0" w:rsidRDefault="00EA21A2" w:rsidP="00EA21A2">
            <w:pPr>
              <w:jc w:val="center"/>
              <w:rPr>
                <w:rFonts w:ascii="Arial" w:hAnsi="Arial" w:cs="Arial"/>
                <w:color w:val="0070C0"/>
                <w:sz w:val="20"/>
                <w:szCs w:val="20"/>
                <w:lang w:val="en-US"/>
              </w:rPr>
            </w:pPr>
            <w:r w:rsidRPr="00796AA0">
              <w:rPr>
                <w:rFonts w:ascii="Arial" w:hAnsi="Arial" w:cs="Arial"/>
                <w:color w:val="0070C0"/>
                <w:sz w:val="20"/>
                <w:szCs w:val="20"/>
                <w:lang w:val="en-US"/>
              </w:rPr>
              <w:t>March Money £7,495.25</w:t>
            </w:r>
          </w:p>
          <w:p w14:paraId="5EC2DA5E" w14:textId="4708C77A" w:rsidR="00EA21A2" w:rsidRPr="00796AA0" w:rsidRDefault="00EA21A2" w:rsidP="00EA21A2">
            <w:pPr>
              <w:jc w:val="center"/>
              <w:rPr>
                <w:rFonts w:ascii="Arial" w:hAnsi="Arial" w:cs="Arial"/>
                <w:color w:val="FF0000"/>
                <w:sz w:val="20"/>
                <w:szCs w:val="20"/>
                <w:lang w:val="en-US"/>
              </w:rPr>
            </w:pPr>
            <w:r w:rsidRPr="00796AA0">
              <w:rPr>
                <w:rFonts w:ascii="Arial" w:hAnsi="Arial" w:cs="Arial"/>
                <w:sz w:val="20"/>
                <w:szCs w:val="20"/>
                <w:lang w:val="en-US"/>
              </w:rPr>
              <w:t xml:space="preserve">From April 2021 – employ NQT two days per week at a cost of </w:t>
            </w:r>
            <w:r w:rsidRPr="00796AA0">
              <w:rPr>
                <w:rFonts w:ascii="Arial" w:hAnsi="Arial" w:cs="Arial"/>
                <w:color w:val="FF0000"/>
                <w:sz w:val="20"/>
                <w:szCs w:val="20"/>
                <w:lang w:val="en-US"/>
              </w:rPr>
              <w:t>£4,660</w:t>
            </w:r>
          </w:p>
          <w:p w14:paraId="36D95FF9" w14:textId="4C43A654" w:rsidR="001A6401" w:rsidRPr="00796AA0" w:rsidRDefault="001A6401" w:rsidP="00EA21A2">
            <w:pPr>
              <w:jc w:val="center"/>
              <w:rPr>
                <w:rFonts w:ascii="Arial" w:hAnsi="Arial" w:cs="Arial"/>
                <w:color w:val="0070C0"/>
                <w:sz w:val="20"/>
                <w:szCs w:val="20"/>
                <w:lang w:val="en-US"/>
              </w:rPr>
            </w:pPr>
            <w:r w:rsidRPr="00796AA0">
              <w:rPr>
                <w:rFonts w:ascii="Arial" w:hAnsi="Arial" w:cs="Arial"/>
                <w:color w:val="0070C0"/>
                <w:sz w:val="20"/>
                <w:szCs w:val="20"/>
                <w:lang w:val="en-US"/>
              </w:rPr>
              <w:t>Remaining - £2,835.25</w:t>
            </w:r>
          </w:p>
          <w:p w14:paraId="33A224E7" w14:textId="77777777" w:rsidR="00EA21A2" w:rsidRPr="00796AA0" w:rsidRDefault="00EA21A2" w:rsidP="00A95A16">
            <w:pPr>
              <w:spacing w:after="0" w:line="240" w:lineRule="auto"/>
              <w:rPr>
                <w:rFonts w:ascii="Arial" w:eastAsia="Times New Roman" w:hAnsi="Arial" w:cs="Arial"/>
                <w:b/>
                <w:sz w:val="20"/>
                <w:szCs w:val="20"/>
                <w:lang w:eastAsia="en-GB"/>
              </w:rPr>
            </w:pPr>
          </w:p>
        </w:tc>
      </w:tr>
    </w:tbl>
    <w:p w14:paraId="46EDBF29" w14:textId="5FC548CD" w:rsidR="00F81F09" w:rsidRPr="00800692" w:rsidRDefault="00F81F09" w:rsidP="001A6401">
      <w:pPr>
        <w:jc w:val="right"/>
        <w:rPr>
          <w:rFonts w:ascii="Arial" w:eastAsia="Times New Roman" w:hAnsi="Arial" w:cs="Arial"/>
          <w:b/>
          <w:sz w:val="28"/>
          <w:szCs w:val="16"/>
          <w:lang w:eastAsia="en-GB"/>
        </w:rPr>
      </w:pPr>
    </w:p>
    <w:sectPr w:rsidR="00F81F09" w:rsidRPr="00800692" w:rsidSect="00D81AB3">
      <w:footerReference w:type="default" r:id="rId10"/>
      <w:pgSz w:w="16838" w:h="11906" w:orient="landscape"/>
      <w:pgMar w:top="426" w:right="1440"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156E" w14:textId="77777777" w:rsidR="004B4FBD" w:rsidRDefault="004B4FBD" w:rsidP="002E536B">
      <w:pPr>
        <w:spacing w:after="0" w:line="240" w:lineRule="auto"/>
      </w:pPr>
      <w:r>
        <w:separator/>
      </w:r>
    </w:p>
  </w:endnote>
  <w:endnote w:type="continuationSeparator" w:id="0">
    <w:p w14:paraId="6359A3BF" w14:textId="77777777" w:rsidR="004B4FBD" w:rsidRDefault="004B4FBD" w:rsidP="002E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DC7F" w14:textId="77777777" w:rsidR="002E536B" w:rsidRPr="002E536B" w:rsidRDefault="002E536B">
    <w:pPr>
      <w:pStyle w:val="Footer"/>
      <w:rPr>
        <w:sz w:val="14"/>
      </w:rPr>
    </w:pPr>
    <w:r w:rsidRPr="002E536B">
      <w:rPr>
        <w:sz w:val="14"/>
      </w:rPr>
      <w:t xml:space="preserve">KA Sargent / Closing the Gap Plan Funding in Assessment docs </w:t>
    </w:r>
  </w:p>
  <w:p w14:paraId="4491E19C" w14:textId="77777777" w:rsidR="002E536B" w:rsidRDefault="002E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F2005" w14:textId="77777777" w:rsidR="004B4FBD" w:rsidRDefault="004B4FBD" w:rsidP="002E536B">
      <w:pPr>
        <w:spacing w:after="0" w:line="240" w:lineRule="auto"/>
      </w:pPr>
      <w:r>
        <w:separator/>
      </w:r>
    </w:p>
  </w:footnote>
  <w:footnote w:type="continuationSeparator" w:id="0">
    <w:p w14:paraId="5E46E368" w14:textId="77777777" w:rsidR="004B4FBD" w:rsidRDefault="004B4FBD" w:rsidP="002E5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8D0"/>
    <w:multiLevelType w:val="hybridMultilevel"/>
    <w:tmpl w:val="A3C6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4AA"/>
    <w:multiLevelType w:val="multilevel"/>
    <w:tmpl w:val="F1481F1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E877D37"/>
    <w:multiLevelType w:val="hybridMultilevel"/>
    <w:tmpl w:val="F630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3066A"/>
    <w:multiLevelType w:val="hybridMultilevel"/>
    <w:tmpl w:val="A2E6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068E3"/>
    <w:multiLevelType w:val="hybridMultilevel"/>
    <w:tmpl w:val="1908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A2627"/>
    <w:multiLevelType w:val="hybridMultilevel"/>
    <w:tmpl w:val="B68E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F09F5"/>
    <w:multiLevelType w:val="hybridMultilevel"/>
    <w:tmpl w:val="B908EB64"/>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7" w15:restartNumberingAfterBreak="0">
    <w:nsid w:val="697A32A6"/>
    <w:multiLevelType w:val="hybridMultilevel"/>
    <w:tmpl w:val="C17E9306"/>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8" w15:restartNumberingAfterBreak="0">
    <w:nsid w:val="6FEB641E"/>
    <w:multiLevelType w:val="hybridMultilevel"/>
    <w:tmpl w:val="1C76326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9" w15:restartNumberingAfterBreak="0">
    <w:nsid w:val="70F64C09"/>
    <w:multiLevelType w:val="hybridMultilevel"/>
    <w:tmpl w:val="84CE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90C2E"/>
    <w:multiLevelType w:val="hybridMultilevel"/>
    <w:tmpl w:val="F926E1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7"/>
  </w:num>
  <w:num w:numId="6">
    <w:abstractNumId w:val="6"/>
  </w:num>
  <w:num w:numId="7">
    <w:abstractNumId w:val="8"/>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CF"/>
    <w:rsid w:val="00010B0C"/>
    <w:rsid w:val="00014F78"/>
    <w:rsid w:val="00022FC4"/>
    <w:rsid w:val="00033EF9"/>
    <w:rsid w:val="00060362"/>
    <w:rsid w:val="0009545C"/>
    <w:rsid w:val="000B742D"/>
    <w:rsid w:val="000E39BF"/>
    <w:rsid w:val="000F0E34"/>
    <w:rsid w:val="001A6401"/>
    <w:rsid w:val="001F2B31"/>
    <w:rsid w:val="002A7472"/>
    <w:rsid w:val="002E536B"/>
    <w:rsid w:val="003239E9"/>
    <w:rsid w:val="003956CF"/>
    <w:rsid w:val="00417468"/>
    <w:rsid w:val="00475C97"/>
    <w:rsid w:val="004A127F"/>
    <w:rsid w:val="004A7AD7"/>
    <w:rsid w:val="004B4FBD"/>
    <w:rsid w:val="004C34E1"/>
    <w:rsid w:val="004F0C6F"/>
    <w:rsid w:val="00533472"/>
    <w:rsid w:val="00544EE4"/>
    <w:rsid w:val="005A691C"/>
    <w:rsid w:val="005D4F21"/>
    <w:rsid w:val="0061150B"/>
    <w:rsid w:val="00640EC2"/>
    <w:rsid w:val="00642C30"/>
    <w:rsid w:val="006E6C2F"/>
    <w:rsid w:val="00727BF2"/>
    <w:rsid w:val="00735B65"/>
    <w:rsid w:val="00796AA0"/>
    <w:rsid w:val="007F6D92"/>
    <w:rsid w:val="00800692"/>
    <w:rsid w:val="00800CF5"/>
    <w:rsid w:val="0083642F"/>
    <w:rsid w:val="008B1AC9"/>
    <w:rsid w:val="00924D00"/>
    <w:rsid w:val="00956962"/>
    <w:rsid w:val="009C4E62"/>
    <w:rsid w:val="009D1F05"/>
    <w:rsid w:val="00A07798"/>
    <w:rsid w:val="00A42654"/>
    <w:rsid w:val="00A95A16"/>
    <w:rsid w:val="00AB6500"/>
    <w:rsid w:val="00B44595"/>
    <w:rsid w:val="00BB14FD"/>
    <w:rsid w:val="00BB1FC5"/>
    <w:rsid w:val="00CB36B2"/>
    <w:rsid w:val="00D17975"/>
    <w:rsid w:val="00D32360"/>
    <w:rsid w:val="00D55315"/>
    <w:rsid w:val="00D81AB3"/>
    <w:rsid w:val="00D94317"/>
    <w:rsid w:val="00DB4B57"/>
    <w:rsid w:val="00DC2DAD"/>
    <w:rsid w:val="00E37B57"/>
    <w:rsid w:val="00E64DA3"/>
    <w:rsid w:val="00E93808"/>
    <w:rsid w:val="00EA21A2"/>
    <w:rsid w:val="00EB5F68"/>
    <w:rsid w:val="00F2354E"/>
    <w:rsid w:val="00F66344"/>
    <w:rsid w:val="00F67058"/>
    <w:rsid w:val="00F81F09"/>
    <w:rsid w:val="00FD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07E8"/>
  <w15:docId w15:val="{4468818E-74FF-4F9C-921F-3AED5210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10B0C"/>
    <w:pPr>
      <w:suppressAutoHyphens/>
      <w:autoSpaceDN w:val="0"/>
      <w:spacing w:after="0" w:line="240" w:lineRule="auto"/>
      <w:textAlignment w:val="baseline"/>
    </w:pPr>
    <w:rPr>
      <w:rFonts w:ascii="Calibri" w:eastAsia="Calibri" w:hAnsi="Calibri" w:cs="Times New Roman"/>
    </w:rPr>
  </w:style>
  <w:style w:type="paragraph" w:customStyle="1" w:styleId="TableRow">
    <w:name w:val="TableRow"/>
    <w:rsid w:val="009D1F05"/>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character" w:styleId="PlaceholderText">
    <w:name w:val="Placeholder Text"/>
    <w:basedOn w:val="DefaultParagraphFont"/>
    <w:rsid w:val="009D1F05"/>
    <w:rPr>
      <w:color w:val="808080"/>
    </w:rPr>
  </w:style>
  <w:style w:type="table" w:styleId="TableGrid">
    <w:name w:val="Table Grid"/>
    <w:basedOn w:val="TableNormal"/>
    <w:rsid w:val="009D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AB3"/>
    <w:pPr>
      <w:ind w:left="720"/>
      <w:contextualSpacing/>
    </w:pPr>
  </w:style>
  <w:style w:type="paragraph" w:styleId="Header">
    <w:name w:val="header"/>
    <w:basedOn w:val="Normal"/>
    <w:link w:val="HeaderChar"/>
    <w:uiPriority w:val="99"/>
    <w:unhideWhenUsed/>
    <w:rsid w:val="002E5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36B"/>
  </w:style>
  <w:style w:type="paragraph" w:styleId="Footer">
    <w:name w:val="footer"/>
    <w:basedOn w:val="Normal"/>
    <w:link w:val="FooterChar"/>
    <w:uiPriority w:val="99"/>
    <w:unhideWhenUsed/>
    <w:rsid w:val="002E5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36B"/>
  </w:style>
  <w:style w:type="paragraph" w:styleId="BalloonText">
    <w:name w:val="Balloon Text"/>
    <w:basedOn w:val="Normal"/>
    <w:link w:val="BalloonTextChar"/>
    <w:uiPriority w:val="99"/>
    <w:semiHidden/>
    <w:unhideWhenUsed/>
    <w:rsid w:val="002E5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6B"/>
    <w:rPr>
      <w:rFonts w:ascii="Segoe UI" w:hAnsi="Segoe UI" w:cs="Segoe UI"/>
      <w:sz w:val="18"/>
      <w:szCs w:val="18"/>
    </w:rPr>
  </w:style>
  <w:style w:type="table" w:customStyle="1" w:styleId="TableGrid1">
    <w:name w:val="Table Grid1"/>
    <w:basedOn w:val="TableNormal"/>
    <w:next w:val="TableGrid"/>
    <w:uiPriority w:val="39"/>
    <w:rsid w:val="004A12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D55315"/>
    <w:rPr>
      <w:rFonts w:ascii="Calibri" w:eastAsia="Calibri" w:hAnsi="Calibri" w:cs="Times New Roman"/>
    </w:rPr>
  </w:style>
  <w:style w:type="paragraph" w:customStyle="1" w:styleId="paragraph">
    <w:name w:val="paragraph"/>
    <w:basedOn w:val="Normal"/>
    <w:rsid w:val="00A95A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5A16"/>
  </w:style>
  <w:style w:type="character" w:customStyle="1" w:styleId="eop">
    <w:name w:val="eop"/>
    <w:basedOn w:val="DefaultParagraphFont"/>
    <w:rsid w:val="00A9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5955">
      <w:bodyDiv w:val="1"/>
      <w:marLeft w:val="0"/>
      <w:marRight w:val="0"/>
      <w:marTop w:val="0"/>
      <w:marBottom w:val="0"/>
      <w:divBdr>
        <w:top w:val="none" w:sz="0" w:space="0" w:color="auto"/>
        <w:left w:val="none" w:sz="0" w:space="0" w:color="auto"/>
        <w:bottom w:val="none" w:sz="0" w:space="0" w:color="auto"/>
        <w:right w:val="none" w:sz="0" w:space="0" w:color="auto"/>
      </w:divBdr>
      <w:divsChild>
        <w:div w:id="1647970562">
          <w:marLeft w:val="0"/>
          <w:marRight w:val="0"/>
          <w:marTop w:val="0"/>
          <w:marBottom w:val="0"/>
          <w:divBdr>
            <w:top w:val="none" w:sz="0" w:space="0" w:color="auto"/>
            <w:left w:val="none" w:sz="0" w:space="0" w:color="auto"/>
            <w:bottom w:val="none" w:sz="0" w:space="0" w:color="auto"/>
            <w:right w:val="none" w:sz="0" w:space="0" w:color="auto"/>
          </w:divBdr>
        </w:div>
        <w:div w:id="306470169">
          <w:marLeft w:val="0"/>
          <w:marRight w:val="0"/>
          <w:marTop w:val="0"/>
          <w:marBottom w:val="0"/>
          <w:divBdr>
            <w:top w:val="none" w:sz="0" w:space="0" w:color="auto"/>
            <w:left w:val="none" w:sz="0" w:space="0" w:color="auto"/>
            <w:bottom w:val="none" w:sz="0" w:space="0" w:color="auto"/>
            <w:right w:val="none" w:sz="0" w:space="0" w:color="auto"/>
          </w:divBdr>
        </w:div>
        <w:div w:id="903221331">
          <w:marLeft w:val="0"/>
          <w:marRight w:val="0"/>
          <w:marTop w:val="0"/>
          <w:marBottom w:val="0"/>
          <w:divBdr>
            <w:top w:val="none" w:sz="0" w:space="0" w:color="auto"/>
            <w:left w:val="none" w:sz="0" w:space="0" w:color="auto"/>
            <w:bottom w:val="none" w:sz="0" w:space="0" w:color="auto"/>
            <w:right w:val="none" w:sz="0" w:space="0" w:color="auto"/>
          </w:divBdr>
        </w:div>
        <w:div w:id="1284730199">
          <w:marLeft w:val="0"/>
          <w:marRight w:val="0"/>
          <w:marTop w:val="0"/>
          <w:marBottom w:val="0"/>
          <w:divBdr>
            <w:top w:val="none" w:sz="0" w:space="0" w:color="auto"/>
            <w:left w:val="none" w:sz="0" w:space="0" w:color="auto"/>
            <w:bottom w:val="none" w:sz="0" w:space="0" w:color="auto"/>
            <w:right w:val="none" w:sz="0" w:space="0" w:color="auto"/>
          </w:divBdr>
        </w:div>
        <w:div w:id="1504734204">
          <w:marLeft w:val="0"/>
          <w:marRight w:val="0"/>
          <w:marTop w:val="0"/>
          <w:marBottom w:val="0"/>
          <w:divBdr>
            <w:top w:val="none" w:sz="0" w:space="0" w:color="auto"/>
            <w:left w:val="none" w:sz="0" w:space="0" w:color="auto"/>
            <w:bottom w:val="none" w:sz="0" w:space="0" w:color="auto"/>
            <w:right w:val="none" w:sz="0" w:space="0" w:color="auto"/>
          </w:divBdr>
        </w:div>
        <w:div w:id="1507359232">
          <w:marLeft w:val="0"/>
          <w:marRight w:val="0"/>
          <w:marTop w:val="0"/>
          <w:marBottom w:val="0"/>
          <w:divBdr>
            <w:top w:val="none" w:sz="0" w:space="0" w:color="auto"/>
            <w:left w:val="none" w:sz="0" w:space="0" w:color="auto"/>
            <w:bottom w:val="none" w:sz="0" w:space="0" w:color="auto"/>
            <w:right w:val="none" w:sz="0" w:space="0" w:color="auto"/>
          </w:divBdr>
        </w:div>
      </w:divsChild>
    </w:div>
    <w:div w:id="591857036">
      <w:bodyDiv w:val="1"/>
      <w:marLeft w:val="0"/>
      <w:marRight w:val="0"/>
      <w:marTop w:val="0"/>
      <w:marBottom w:val="0"/>
      <w:divBdr>
        <w:top w:val="none" w:sz="0" w:space="0" w:color="auto"/>
        <w:left w:val="none" w:sz="0" w:space="0" w:color="auto"/>
        <w:bottom w:val="none" w:sz="0" w:space="0" w:color="auto"/>
        <w:right w:val="none" w:sz="0" w:space="0" w:color="auto"/>
      </w:divBdr>
      <w:divsChild>
        <w:div w:id="1904220708">
          <w:marLeft w:val="0"/>
          <w:marRight w:val="0"/>
          <w:marTop w:val="0"/>
          <w:marBottom w:val="0"/>
          <w:divBdr>
            <w:top w:val="none" w:sz="0" w:space="0" w:color="auto"/>
            <w:left w:val="none" w:sz="0" w:space="0" w:color="auto"/>
            <w:bottom w:val="none" w:sz="0" w:space="0" w:color="auto"/>
            <w:right w:val="none" w:sz="0" w:space="0" w:color="auto"/>
          </w:divBdr>
        </w:div>
        <w:div w:id="1776560063">
          <w:marLeft w:val="0"/>
          <w:marRight w:val="0"/>
          <w:marTop w:val="0"/>
          <w:marBottom w:val="0"/>
          <w:divBdr>
            <w:top w:val="none" w:sz="0" w:space="0" w:color="auto"/>
            <w:left w:val="none" w:sz="0" w:space="0" w:color="auto"/>
            <w:bottom w:val="none" w:sz="0" w:space="0" w:color="auto"/>
            <w:right w:val="none" w:sz="0" w:space="0" w:color="auto"/>
          </w:divBdr>
        </w:div>
        <w:div w:id="1700819780">
          <w:marLeft w:val="0"/>
          <w:marRight w:val="0"/>
          <w:marTop w:val="0"/>
          <w:marBottom w:val="0"/>
          <w:divBdr>
            <w:top w:val="none" w:sz="0" w:space="0" w:color="auto"/>
            <w:left w:val="none" w:sz="0" w:space="0" w:color="auto"/>
            <w:bottom w:val="none" w:sz="0" w:space="0" w:color="auto"/>
            <w:right w:val="none" w:sz="0" w:space="0" w:color="auto"/>
          </w:divBdr>
        </w:div>
        <w:div w:id="252905510">
          <w:marLeft w:val="0"/>
          <w:marRight w:val="0"/>
          <w:marTop w:val="0"/>
          <w:marBottom w:val="0"/>
          <w:divBdr>
            <w:top w:val="none" w:sz="0" w:space="0" w:color="auto"/>
            <w:left w:val="none" w:sz="0" w:space="0" w:color="auto"/>
            <w:bottom w:val="none" w:sz="0" w:space="0" w:color="auto"/>
            <w:right w:val="none" w:sz="0" w:space="0" w:color="auto"/>
          </w:divBdr>
        </w:div>
        <w:div w:id="569658708">
          <w:marLeft w:val="0"/>
          <w:marRight w:val="0"/>
          <w:marTop w:val="0"/>
          <w:marBottom w:val="0"/>
          <w:divBdr>
            <w:top w:val="none" w:sz="0" w:space="0" w:color="auto"/>
            <w:left w:val="none" w:sz="0" w:space="0" w:color="auto"/>
            <w:bottom w:val="none" w:sz="0" w:space="0" w:color="auto"/>
            <w:right w:val="none" w:sz="0" w:space="0" w:color="auto"/>
          </w:divBdr>
        </w:div>
        <w:div w:id="508760071">
          <w:marLeft w:val="0"/>
          <w:marRight w:val="0"/>
          <w:marTop w:val="0"/>
          <w:marBottom w:val="0"/>
          <w:divBdr>
            <w:top w:val="none" w:sz="0" w:space="0" w:color="auto"/>
            <w:left w:val="none" w:sz="0" w:space="0" w:color="auto"/>
            <w:bottom w:val="none" w:sz="0" w:space="0" w:color="auto"/>
            <w:right w:val="none" w:sz="0" w:space="0" w:color="auto"/>
          </w:divBdr>
        </w:div>
        <w:div w:id="1922985032">
          <w:marLeft w:val="0"/>
          <w:marRight w:val="0"/>
          <w:marTop w:val="0"/>
          <w:marBottom w:val="0"/>
          <w:divBdr>
            <w:top w:val="none" w:sz="0" w:space="0" w:color="auto"/>
            <w:left w:val="none" w:sz="0" w:space="0" w:color="auto"/>
            <w:bottom w:val="none" w:sz="0" w:space="0" w:color="auto"/>
            <w:right w:val="none" w:sz="0" w:space="0" w:color="auto"/>
          </w:divBdr>
        </w:div>
      </w:divsChild>
    </w:div>
    <w:div w:id="1239096049">
      <w:bodyDiv w:val="1"/>
      <w:marLeft w:val="0"/>
      <w:marRight w:val="0"/>
      <w:marTop w:val="0"/>
      <w:marBottom w:val="0"/>
      <w:divBdr>
        <w:top w:val="none" w:sz="0" w:space="0" w:color="auto"/>
        <w:left w:val="none" w:sz="0" w:space="0" w:color="auto"/>
        <w:bottom w:val="none" w:sz="0" w:space="0" w:color="auto"/>
        <w:right w:val="none" w:sz="0" w:space="0" w:color="auto"/>
      </w:divBdr>
      <w:divsChild>
        <w:div w:id="430131024">
          <w:marLeft w:val="0"/>
          <w:marRight w:val="0"/>
          <w:marTop w:val="0"/>
          <w:marBottom w:val="0"/>
          <w:divBdr>
            <w:top w:val="none" w:sz="0" w:space="0" w:color="auto"/>
            <w:left w:val="none" w:sz="0" w:space="0" w:color="auto"/>
            <w:bottom w:val="none" w:sz="0" w:space="0" w:color="auto"/>
            <w:right w:val="none" w:sz="0" w:space="0" w:color="auto"/>
          </w:divBdr>
        </w:div>
      </w:divsChild>
    </w:div>
    <w:div w:id="1792244682">
      <w:bodyDiv w:val="1"/>
      <w:marLeft w:val="0"/>
      <w:marRight w:val="0"/>
      <w:marTop w:val="0"/>
      <w:marBottom w:val="0"/>
      <w:divBdr>
        <w:top w:val="none" w:sz="0" w:space="0" w:color="auto"/>
        <w:left w:val="none" w:sz="0" w:space="0" w:color="auto"/>
        <w:bottom w:val="none" w:sz="0" w:space="0" w:color="auto"/>
        <w:right w:val="none" w:sz="0" w:space="0" w:color="auto"/>
      </w:divBdr>
      <w:divsChild>
        <w:div w:id="1119450614">
          <w:marLeft w:val="0"/>
          <w:marRight w:val="0"/>
          <w:marTop w:val="0"/>
          <w:marBottom w:val="0"/>
          <w:divBdr>
            <w:top w:val="none" w:sz="0" w:space="0" w:color="auto"/>
            <w:left w:val="none" w:sz="0" w:space="0" w:color="auto"/>
            <w:bottom w:val="none" w:sz="0" w:space="0" w:color="auto"/>
            <w:right w:val="none" w:sz="0" w:space="0" w:color="auto"/>
          </w:divBdr>
        </w:div>
        <w:div w:id="249890621">
          <w:marLeft w:val="0"/>
          <w:marRight w:val="0"/>
          <w:marTop w:val="0"/>
          <w:marBottom w:val="0"/>
          <w:divBdr>
            <w:top w:val="none" w:sz="0" w:space="0" w:color="auto"/>
            <w:left w:val="none" w:sz="0" w:space="0" w:color="auto"/>
            <w:bottom w:val="none" w:sz="0" w:space="0" w:color="auto"/>
            <w:right w:val="none" w:sz="0" w:space="0" w:color="auto"/>
          </w:divBdr>
        </w:div>
        <w:div w:id="1239482678">
          <w:marLeft w:val="0"/>
          <w:marRight w:val="0"/>
          <w:marTop w:val="0"/>
          <w:marBottom w:val="0"/>
          <w:divBdr>
            <w:top w:val="none" w:sz="0" w:space="0" w:color="auto"/>
            <w:left w:val="none" w:sz="0" w:space="0" w:color="auto"/>
            <w:bottom w:val="none" w:sz="0" w:space="0" w:color="auto"/>
            <w:right w:val="none" w:sz="0" w:space="0" w:color="auto"/>
          </w:divBdr>
        </w:div>
        <w:div w:id="1820730591">
          <w:marLeft w:val="0"/>
          <w:marRight w:val="0"/>
          <w:marTop w:val="0"/>
          <w:marBottom w:val="0"/>
          <w:divBdr>
            <w:top w:val="none" w:sz="0" w:space="0" w:color="auto"/>
            <w:left w:val="none" w:sz="0" w:space="0" w:color="auto"/>
            <w:bottom w:val="none" w:sz="0" w:space="0" w:color="auto"/>
            <w:right w:val="none" w:sz="0" w:space="0" w:color="auto"/>
          </w:divBdr>
        </w:div>
        <w:div w:id="563954655">
          <w:marLeft w:val="0"/>
          <w:marRight w:val="0"/>
          <w:marTop w:val="0"/>
          <w:marBottom w:val="0"/>
          <w:divBdr>
            <w:top w:val="none" w:sz="0" w:space="0" w:color="auto"/>
            <w:left w:val="none" w:sz="0" w:space="0" w:color="auto"/>
            <w:bottom w:val="none" w:sz="0" w:space="0" w:color="auto"/>
            <w:right w:val="none" w:sz="0" w:space="0" w:color="auto"/>
          </w:divBdr>
        </w:div>
      </w:divsChild>
    </w:div>
    <w:div w:id="20248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E4C7BF74BA2444A9A63BECE6E51A38" ma:contentTypeVersion="14" ma:contentTypeDescription="Create a new document." ma:contentTypeScope="" ma:versionID="9e70ed226d8aa960057194fea647b9bf">
  <xsd:schema xmlns:xsd="http://www.w3.org/2001/XMLSchema" xmlns:xs="http://www.w3.org/2001/XMLSchema" xmlns:p="http://schemas.microsoft.com/office/2006/metadata/properties" xmlns:ns3="3ad062c2-d624-46df-a6b3-2dc551c2ad18" xmlns:ns4="3d509e96-b75d-479a-bce3-57e090cd7d8f" targetNamespace="http://schemas.microsoft.com/office/2006/metadata/properties" ma:root="true" ma:fieldsID="498bf9003c3e2578504de786df1eb5b3" ns3:_="" ns4:_="">
    <xsd:import namespace="3ad062c2-d624-46df-a6b3-2dc551c2ad18"/>
    <xsd:import namespace="3d509e96-b75d-479a-bce3-57e090cd7d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062c2-d624-46df-a6b3-2dc551c2a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09e96-b75d-479a-bce3-57e090cd7d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E0B50-A118-4AF1-A8E8-A6BB8622186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3d509e96-b75d-479a-bce3-57e090cd7d8f"/>
    <ds:schemaRef ds:uri="3ad062c2-d624-46df-a6b3-2dc551c2ad18"/>
  </ds:schemaRefs>
</ds:datastoreItem>
</file>

<file path=customXml/itemProps2.xml><?xml version="1.0" encoding="utf-8"?>
<ds:datastoreItem xmlns:ds="http://schemas.openxmlformats.org/officeDocument/2006/customXml" ds:itemID="{16EC691B-A68A-4299-9C68-3AF50FAEE093}">
  <ds:schemaRefs>
    <ds:schemaRef ds:uri="http://schemas.microsoft.com/sharepoint/v3/contenttype/forms"/>
  </ds:schemaRefs>
</ds:datastoreItem>
</file>

<file path=customXml/itemProps3.xml><?xml version="1.0" encoding="utf-8"?>
<ds:datastoreItem xmlns:ds="http://schemas.openxmlformats.org/officeDocument/2006/customXml" ds:itemID="{91FC0537-E27E-4D64-80A8-EA229BE4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062c2-d624-46df-a6b3-2dc551c2ad18"/>
    <ds:schemaRef ds:uri="3d509e96-b75d-479a-bce3-57e090cd7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Totley All Saints CE Primary School</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 Sargent</dc:creator>
  <cp:lastModifiedBy>Rebecca Mottershaw</cp:lastModifiedBy>
  <cp:revision>12</cp:revision>
  <cp:lastPrinted>2022-03-09T08:01:00Z</cp:lastPrinted>
  <dcterms:created xsi:type="dcterms:W3CDTF">2022-03-14T21:59:00Z</dcterms:created>
  <dcterms:modified xsi:type="dcterms:W3CDTF">2022-03-14T22:46:00Z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0x01010065E4C7BF74BA2444A9A63BECE6E51A38</vt:lpwstr>
  </property>
</Properties>
</file>